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A7D" w:rsidRDefault="001C5955">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人工智能教育（无人机）成果展示活动</w:t>
      </w:r>
    </w:p>
    <w:p w:rsidR="008D5A7D" w:rsidRDefault="001C5955">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“长空蹴鞠”项目规则</w:t>
      </w:r>
    </w:p>
    <w:p w:rsidR="008D5A7D" w:rsidRDefault="008D5A7D"/>
    <w:p w:rsidR="008D5A7D" w:rsidRDefault="001C5955">
      <w:pPr>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一、参赛队伍</w:t>
      </w:r>
    </w:p>
    <w:p w:rsidR="008D5A7D" w:rsidRDefault="001C5955">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1.参赛队按学籍分为小学组、中学组（含初中、高中、中职）</w:t>
      </w:r>
    </w:p>
    <w:p w:rsidR="008D5A7D" w:rsidRDefault="001C5955">
      <w:pPr>
        <w:snapToGrid w:val="0"/>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每支参赛队由1名选手组成</w:t>
      </w:r>
    </w:p>
    <w:p w:rsidR="008D5A7D" w:rsidRDefault="001C5955">
      <w:pPr>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二、</w:t>
      </w:r>
      <w:r>
        <w:rPr>
          <w:rFonts w:ascii="黑体" w:eastAsia="黑体" w:hAnsi="黑体"/>
          <w:sz w:val="32"/>
          <w:szCs w:val="32"/>
        </w:rPr>
        <w:t>器材要求</w:t>
      </w:r>
    </w:p>
    <w:p w:rsidR="008D5A7D" w:rsidRDefault="001C5955">
      <w:pPr>
        <w:spacing w:line="560" w:lineRule="exact"/>
        <w:ind w:firstLineChars="200" w:firstLine="640"/>
        <w:rPr>
          <w:rFonts w:ascii="仿宋_GB2312" w:eastAsia="仿宋_GB2312"/>
          <w:sz w:val="32"/>
          <w:szCs w:val="32"/>
        </w:rPr>
      </w:pPr>
      <w:r>
        <w:rPr>
          <w:rFonts w:ascii="仿宋_GB2312" w:eastAsia="仿宋_GB2312" w:hint="eastAsia"/>
          <w:sz w:val="32"/>
          <w:szCs w:val="32"/>
        </w:rPr>
        <w:t>参赛队可自制或购买无人机进行改造，性能须安全可靠，必须符合国家相关部门管理规定并符合以下要求：</w:t>
      </w:r>
    </w:p>
    <w:tbl>
      <w:tblPr>
        <w:tblStyle w:val="TableNormal"/>
        <w:tblW w:w="507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7"/>
        <w:gridCol w:w="1711"/>
        <w:gridCol w:w="5634"/>
      </w:tblGrid>
      <w:tr w:rsidR="008D5A7D">
        <w:trPr>
          <w:trHeight w:val="620"/>
          <w:jc w:val="center"/>
        </w:trPr>
        <w:tc>
          <w:tcPr>
            <w:tcW w:w="634" w:type="pct"/>
            <w:tcBorders>
              <w:top w:val="single" w:sz="4" w:space="0" w:color="000000"/>
              <w:left w:val="single" w:sz="4" w:space="0" w:color="000000"/>
              <w:bottom w:val="single" w:sz="4" w:space="0" w:color="000000"/>
              <w:right w:val="single" w:sz="4" w:space="0" w:color="000000"/>
            </w:tcBorders>
            <w:vAlign w:val="center"/>
          </w:tcPr>
          <w:p w:rsidR="008D5A7D" w:rsidRDefault="001C5955">
            <w:pPr>
              <w:pStyle w:val="TableParagraph"/>
              <w:spacing w:before="26"/>
              <w:ind w:left="275" w:right="155"/>
              <w:jc w:val="center"/>
              <w:rPr>
                <w:rFonts w:ascii="黑体" w:eastAsia="黑体" w:hAnsi="黑体" w:cs="黑体"/>
                <w:sz w:val="28"/>
                <w:szCs w:val="28"/>
              </w:rPr>
            </w:pPr>
            <w:proofErr w:type="spellStart"/>
            <w:r>
              <w:rPr>
                <w:rFonts w:ascii="黑体" w:eastAsia="黑体" w:hAnsi="黑体" w:cs="黑体" w:hint="eastAsia"/>
                <w:sz w:val="28"/>
                <w:szCs w:val="28"/>
              </w:rPr>
              <w:t>序号</w:t>
            </w:r>
            <w:proofErr w:type="spellEnd"/>
          </w:p>
        </w:tc>
        <w:tc>
          <w:tcPr>
            <w:tcW w:w="1017" w:type="pct"/>
            <w:tcBorders>
              <w:top w:val="single" w:sz="4" w:space="0" w:color="000000"/>
              <w:left w:val="single" w:sz="4" w:space="0" w:color="000000"/>
              <w:bottom w:val="single" w:sz="4" w:space="0" w:color="000000"/>
              <w:right w:val="single" w:sz="4" w:space="0" w:color="000000"/>
            </w:tcBorders>
            <w:vAlign w:val="center"/>
          </w:tcPr>
          <w:p w:rsidR="008D5A7D" w:rsidRDefault="001C5955">
            <w:pPr>
              <w:pStyle w:val="TableParagraph"/>
              <w:spacing w:before="26"/>
              <w:ind w:left="335" w:right="215"/>
              <w:jc w:val="center"/>
              <w:rPr>
                <w:rFonts w:ascii="黑体" w:eastAsia="黑体" w:hAnsi="黑体" w:cs="黑体"/>
                <w:sz w:val="28"/>
                <w:szCs w:val="28"/>
              </w:rPr>
            </w:pPr>
            <w:proofErr w:type="spellStart"/>
            <w:r>
              <w:rPr>
                <w:rFonts w:ascii="黑体" w:eastAsia="黑体" w:hAnsi="黑体" w:cs="黑体" w:hint="eastAsia"/>
                <w:sz w:val="28"/>
                <w:szCs w:val="28"/>
              </w:rPr>
              <w:t>项目</w:t>
            </w:r>
            <w:proofErr w:type="spellEnd"/>
          </w:p>
        </w:tc>
        <w:tc>
          <w:tcPr>
            <w:tcW w:w="3348" w:type="pct"/>
            <w:tcBorders>
              <w:top w:val="single" w:sz="4" w:space="0" w:color="000000"/>
              <w:left w:val="single" w:sz="4" w:space="0" w:color="000000"/>
              <w:bottom w:val="single" w:sz="4" w:space="0" w:color="000000"/>
              <w:right w:val="single" w:sz="6" w:space="0" w:color="000000"/>
            </w:tcBorders>
            <w:vAlign w:val="center"/>
          </w:tcPr>
          <w:p w:rsidR="008D5A7D" w:rsidRDefault="001C5955">
            <w:pPr>
              <w:pStyle w:val="TableParagraph"/>
              <w:spacing w:before="26"/>
              <w:ind w:left="2310" w:right="2191"/>
              <w:jc w:val="center"/>
              <w:rPr>
                <w:rFonts w:ascii="黑体" w:eastAsia="黑体" w:hAnsi="黑体" w:cs="黑体"/>
                <w:sz w:val="28"/>
                <w:szCs w:val="28"/>
              </w:rPr>
            </w:pPr>
            <w:proofErr w:type="spellStart"/>
            <w:r>
              <w:rPr>
                <w:rFonts w:ascii="黑体" w:eastAsia="黑体" w:hAnsi="黑体" w:cs="黑体" w:hint="eastAsia"/>
                <w:sz w:val="28"/>
                <w:szCs w:val="28"/>
              </w:rPr>
              <w:t>规格要求</w:t>
            </w:r>
            <w:proofErr w:type="spellEnd"/>
          </w:p>
        </w:tc>
      </w:tr>
      <w:tr w:rsidR="008D5A7D">
        <w:trPr>
          <w:trHeight w:val="640"/>
          <w:jc w:val="center"/>
        </w:trPr>
        <w:tc>
          <w:tcPr>
            <w:tcW w:w="634" w:type="pct"/>
            <w:tcBorders>
              <w:top w:val="single" w:sz="4" w:space="0" w:color="000000"/>
              <w:left w:val="single" w:sz="4" w:space="0" w:color="000000"/>
              <w:bottom w:val="single" w:sz="4" w:space="0" w:color="000000"/>
              <w:right w:val="single" w:sz="4" w:space="0" w:color="000000"/>
            </w:tcBorders>
            <w:vAlign w:val="center"/>
          </w:tcPr>
          <w:p w:rsidR="008D5A7D" w:rsidRDefault="001C5955">
            <w:pPr>
              <w:pStyle w:val="TableParagraph"/>
              <w:spacing w:before="26"/>
              <w:ind w:left="275" w:right="155"/>
              <w:jc w:val="center"/>
              <w:rPr>
                <w:rFonts w:ascii="仿宋_GB2312" w:eastAsia="仿宋_GB2312"/>
                <w:sz w:val="28"/>
                <w:szCs w:val="28"/>
              </w:rPr>
            </w:pPr>
            <w:r>
              <w:rPr>
                <w:rFonts w:ascii="仿宋_GB2312" w:eastAsia="仿宋_GB2312" w:hint="eastAsia"/>
                <w:sz w:val="28"/>
                <w:szCs w:val="28"/>
              </w:rPr>
              <w:t>1</w:t>
            </w:r>
          </w:p>
        </w:tc>
        <w:tc>
          <w:tcPr>
            <w:tcW w:w="1017" w:type="pct"/>
            <w:tcBorders>
              <w:top w:val="single" w:sz="4" w:space="0" w:color="000000"/>
              <w:left w:val="single" w:sz="4" w:space="0" w:color="000000"/>
              <w:bottom w:val="single" w:sz="4" w:space="0" w:color="000000"/>
              <w:right w:val="single" w:sz="4" w:space="0" w:color="000000"/>
            </w:tcBorders>
            <w:vAlign w:val="center"/>
          </w:tcPr>
          <w:p w:rsidR="008D5A7D" w:rsidRDefault="001C5955">
            <w:pPr>
              <w:pStyle w:val="TableParagraph"/>
              <w:spacing w:before="26"/>
              <w:ind w:left="335" w:right="215"/>
              <w:jc w:val="center"/>
              <w:rPr>
                <w:rFonts w:ascii="仿宋_GB2312" w:eastAsia="仿宋_GB2312"/>
                <w:sz w:val="28"/>
                <w:szCs w:val="28"/>
              </w:rPr>
            </w:pPr>
            <w:r>
              <w:rPr>
                <w:rFonts w:ascii="仿宋_GB2312" w:eastAsia="仿宋_GB2312" w:hint="eastAsia"/>
                <w:sz w:val="28"/>
                <w:szCs w:val="28"/>
              </w:rPr>
              <w:t>类 型</w:t>
            </w:r>
          </w:p>
        </w:tc>
        <w:tc>
          <w:tcPr>
            <w:tcW w:w="3348" w:type="pct"/>
            <w:tcBorders>
              <w:top w:val="single" w:sz="4" w:space="0" w:color="000000"/>
              <w:left w:val="single" w:sz="4" w:space="0" w:color="000000"/>
              <w:bottom w:val="single" w:sz="4" w:space="0" w:color="000000"/>
              <w:right w:val="single" w:sz="6" w:space="0" w:color="000000"/>
            </w:tcBorders>
            <w:vAlign w:val="center"/>
          </w:tcPr>
          <w:p w:rsidR="008D5A7D" w:rsidRDefault="001C5955">
            <w:pPr>
              <w:pStyle w:val="TableParagraph"/>
              <w:spacing w:before="26"/>
              <w:ind w:left="102"/>
              <w:rPr>
                <w:rFonts w:ascii="仿宋_GB2312" w:eastAsia="仿宋_GB2312"/>
                <w:sz w:val="28"/>
                <w:szCs w:val="28"/>
              </w:rPr>
            </w:pPr>
            <w:proofErr w:type="spellStart"/>
            <w:r>
              <w:rPr>
                <w:rFonts w:ascii="仿宋_GB2312" w:eastAsia="仿宋_GB2312" w:hint="eastAsia"/>
                <w:sz w:val="28"/>
                <w:szCs w:val="28"/>
              </w:rPr>
              <w:t>四旋翼飞行器</w:t>
            </w:r>
            <w:proofErr w:type="spellEnd"/>
          </w:p>
        </w:tc>
      </w:tr>
      <w:tr w:rsidR="008D5A7D">
        <w:trPr>
          <w:trHeight w:val="620"/>
          <w:jc w:val="center"/>
        </w:trPr>
        <w:tc>
          <w:tcPr>
            <w:tcW w:w="634" w:type="pct"/>
            <w:tcBorders>
              <w:top w:val="single" w:sz="4" w:space="0" w:color="000000"/>
              <w:left w:val="single" w:sz="4" w:space="0" w:color="000000"/>
              <w:bottom w:val="single" w:sz="4" w:space="0" w:color="000000"/>
              <w:right w:val="single" w:sz="4" w:space="0" w:color="000000"/>
            </w:tcBorders>
            <w:vAlign w:val="center"/>
          </w:tcPr>
          <w:p w:rsidR="008D5A7D" w:rsidRDefault="001C5955">
            <w:pPr>
              <w:pStyle w:val="TableParagraph"/>
              <w:spacing w:before="24"/>
              <w:ind w:left="275" w:right="155"/>
              <w:jc w:val="center"/>
              <w:rPr>
                <w:rFonts w:ascii="仿宋_GB2312" w:eastAsia="仿宋_GB2312"/>
                <w:sz w:val="28"/>
                <w:szCs w:val="28"/>
              </w:rPr>
            </w:pPr>
            <w:r>
              <w:rPr>
                <w:rFonts w:ascii="仿宋_GB2312" w:eastAsia="仿宋_GB2312" w:hint="eastAsia"/>
                <w:sz w:val="28"/>
                <w:szCs w:val="28"/>
              </w:rPr>
              <w:t>2</w:t>
            </w:r>
          </w:p>
        </w:tc>
        <w:tc>
          <w:tcPr>
            <w:tcW w:w="1017" w:type="pct"/>
            <w:tcBorders>
              <w:top w:val="single" w:sz="4" w:space="0" w:color="000000"/>
              <w:left w:val="single" w:sz="4" w:space="0" w:color="000000"/>
              <w:bottom w:val="single" w:sz="4" w:space="0" w:color="000000"/>
              <w:right w:val="single" w:sz="4" w:space="0" w:color="000000"/>
            </w:tcBorders>
            <w:vAlign w:val="center"/>
          </w:tcPr>
          <w:p w:rsidR="008D5A7D" w:rsidRDefault="001C5955">
            <w:pPr>
              <w:pStyle w:val="TableParagraph"/>
              <w:spacing w:before="26"/>
              <w:ind w:left="335" w:right="215"/>
              <w:jc w:val="center"/>
              <w:rPr>
                <w:rFonts w:ascii="仿宋_GB2312" w:eastAsia="仿宋_GB2312"/>
                <w:sz w:val="28"/>
                <w:szCs w:val="28"/>
              </w:rPr>
            </w:pPr>
            <w:r>
              <w:rPr>
                <w:rFonts w:ascii="仿宋_GB2312" w:eastAsia="仿宋_GB2312" w:hint="eastAsia"/>
                <w:sz w:val="28"/>
                <w:szCs w:val="28"/>
              </w:rPr>
              <w:t>轴 距</w:t>
            </w:r>
          </w:p>
        </w:tc>
        <w:tc>
          <w:tcPr>
            <w:tcW w:w="3348" w:type="pct"/>
            <w:tcBorders>
              <w:top w:val="single" w:sz="4" w:space="0" w:color="000000"/>
              <w:left w:val="single" w:sz="4" w:space="0" w:color="000000"/>
              <w:bottom w:val="single" w:sz="4" w:space="0" w:color="000000"/>
              <w:right w:val="single" w:sz="6" w:space="0" w:color="000000"/>
            </w:tcBorders>
            <w:vAlign w:val="center"/>
          </w:tcPr>
          <w:p w:rsidR="008D5A7D" w:rsidRDefault="001C5955">
            <w:pPr>
              <w:pStyle w:val="TableParagraph"/>
              <w:spacing w:before="26"/>
              <w:ind w:left="102"/>
              <w:rPr>
                <w:rFonts w:ascii="仿宋_GB2312" w:eastAsia="仿宋_GB2312"/>
                <w:sz w:val="28"/>
                <w:szCs w:val="28"/>
                <w:lang w:eastAsia="zh-CN"/>
              </w:rPr>
            </w:pPr>
            <w:r>
              <w:rPr>
                <w:rFonts w:ascii="仿宋_GB2312" w:eastAsia="仿宋_GB2312" w:hint="eastAsia"/>
                <w:sz w:val="28"/>
                <w:szCs w:val="28"/>
                <w:lang w:eastAsia="zh-CN"/>
              </w:rPr>
              <w:t>不超过300mm（指对角两个电机轴心距离）</w:t>
            </w:r>
          </w:p>
        </w:tc>
      </w:tr>
      <w:tr w:rsidR="008D5A7D">
        <w:trPr>
          <w:trHeight w:val="620"/>
          <w:jc w:val="center"/>
        </w:trPr>
        <w:tc>
          <w:tcPr>
            <w:tcW w:w="634" w:type="pct"/>
            <w:tcBorders>
              <w:top w:val="single" w:sz="4" w:space="0" w:color="000000"/>
              <w:left w:val="single" w:sz="4" w:space="0" w:color="000000"/>
              <w:bottom w:val="single" w:sz="4" w:space="0" w:color="000000"/>
              <w:right w:val="single" w:sz="4" w:space="0" w:color="000000"/>
            </w:tcBorders>
            <w:vAlign w:val="center"/>
          </w:tcPr>
          <w:p w:rsidR="008D5A7D" w:rsidRDefault="001C5955">
            <w:pPr>
              <w:pStyle w:val="TableParagraph"/>
              <w:ind w:left="275" w:right="155"/>
              <w:jc w:val="center"/>
              <w:rPr>
                <w:rFonts w:ascii="仿宋_GB2312" w:eastAsia="仿宋_GB2312"/>
                <w:sz w:val="28"/>
                <w:szCs w:val="28"/>
              </w:rPr>
            </w:pPr>
            <w:r>
              <w:rPr>
                <w:rFonts w:ascii="仿宋_GB2312" w:eastAsia="仿宋_GB2312" w:hint="eastAsia"/>
                <w:sz w:val="28"/>
                <w:szCs w:val="28"/>
              </w:rPr>
              <w:t>3</w:t>
            </w:r>
          </w:p>
        </w:tc>
        <w:tc>
          <w:tcPr>
            <w:tcW w:w="1017" w:type="pct"/>
            <w:tcBorders>
              <w:top w:val="single" w:sz="4" w:space="0" w:color="000000"/>
              <w:left w:val="single" w:sz="4" w:space="0" w:color="000000"/>
              <w:bottom w:val="single" w:sz="4" w:space="0" w:color="000000"/>
              <w:right w:val="single" w:sz="4" w:space="0" w:color="000000"/>
            </w:tcBorders>
            <w:vAlign w:val="center"/>
          </w:tcPr>
          <w:p w:rsidR="008D5A7D" w:rsidRDefault="001C5955">
            <w:pPr>
              <w:pStyle w:val="TableParagraph"/>
              <w:spacing w:before="26"/>
              <w:ind w:left="102"/>
              <w:jc w:val="center"/>
              <w:rPr>
                <w:rFonts w:ascii="仿宋_GB2312" w:eastAsia="仿宋_GB2312"/>
                <w:sz w:val="28"/>
                <w:szCs w:val="28"/>
              </w:rPr>
            </w:pPr>
            <w:proofErr w:type="spellStart"/>
            <w:r>
              <w:rPr>
                <w:rFonts w:ascii="仿宋_GB2312" w:eastAsia="仿宋_GB2312" w:hint="eastAsia"/>
                <w:sz w:val="28"/>
                <w:szCs w:val="28"/>
              </w:rPr>
              <w:t>电池规格</w:t>
            </w:r>
            <w:proofErr w:type="spellEnd"/>
          </w:p>
        </w:tc>
        <w:tc>
          <w:tcPr>
            <w:tcW w:w="3348" w:type="pct"/>
            <w:tcBorders>
              <w:top w:val="single" w:sz="4" w:space="0" w:color="000000"/>
              <w:left w:val="single" w:sz="4" w:space="0" w:color="000000"/>
              <w:bottom w:val="single" w:sz="4" w:space="0" w:color="000000"/>
              <w:right w:val="single" w:sz="6" w:space="0" w:color="000000"/>
            </w:tcBorders>
            <w:vAlign w:val="center"/>
          </w:tcPr>
          <w:p w:rsidR="008D5A7D" w:rsidRDefault="007B7489">
            <w:pPr>
              <w:pStyle w:val="TableParagraph"/>
              <w:spacing w:before="26"/>
              <w:ind w:left="102"/>
              <w:rPr>
                <w:rFonts w:ascii="仿宋_GB2312" w:eastAsia="仿宋_GB2312"/>
                <w:sz w:val="28"/>
                <w:szCs w:val="28"/>
                <w:lang w:eastAsia="zh-CN"/>
              </w:rPr>
            </w:pPr>
            <w:r w:rsidRPr="007B7489">
              <w:rPr>
                <w:rFonts w:ascii="仿宋_GB2312" w:eastAsia="仿宋_GB2312" w:hint="eastAsia"/>
                <w:sz w:val="28"/>
                <w:szCs w:val="28"/>
                <w:lang w:eastAsia="zh-CN"/>
              </w:rPr>
              <w:t>电压≤7.4V （2S）</w:t>
            </w:r>
          </w:p>
        </w:tc>
      </w:tr>
      <w:tr w:rsidR="008D5A7D">
        <w:trPr>
          <w:trHeight w:val="1252"/>
          <w:jc w:val="center"/>
        </w:trPr>
        <w:tc>
          <w:tcPr>
            <w:tcW w:w="634" w:type="pct"/>
            <w:tcBorders>
              <w:top w:val="single" w:sz="4" w:space="0" w:color="000000"/>
              <w:left w:val="single" w:sz="4" w:space="0" w:color="000000"/>
              <w:bottom w:val="single" w:sz="4" w:space="0" w:color="000000"/>
              <w:right w:val="single" w:sz="4" w:space="0" w:color="000000"/>
            </w:tcBorders>
            <w:vAlign w:val="center"/>
          </w:tcPr>
          <w:p w:rsidR="008D5A7D" w:rsidRDefault="001C5955">
            <w:pPr>
              <w:pStyle w:val="TableParagraph"/>
              <w:ind w:left="275" w:right="155"/>
              <w:jc w:val="center"/>
              <w:rPr>
                <w:rFonts w:ascii="仿宋_GB2312" w:eastAsia="仿宋_GB2312"/>
                <w:sz w:val="28"/>
                <w:szCs w:val="28"/>
              </w:rPr>
            </w:pPr>
            <w:r>
              <w:rPr>
                <w:rFonts w:ascii="仿宋_GB2312" w:eastAsia="仿宋_GB2312" w:hint="eastAsia"/>
                <w:sz w:val="28"/>
                <w:szCs w:val="28"/>
              </w:rPr>
              <w:t>4</w:t>
            </w:r>
          </w:p>
        </w:tc>
        <w:tc>
          <w:tcPr>
            <w:tcW w:w="1017" w:type="pct"/>
            <w:tcBorders>
              <w:top w:val="single" w:sz="4" w:space="0" w:color="000000"/>
              <w:left w:val="single" w:sz="4" w:space="0" w:color="000000"/>
              <w:bottom w:val="single" w:sz="4" w:space="0" w:color="000000"/>
              <w:right w:val="single" w:sz="4" w:space="0" w:color="000000"/>
            </w:tcBorders>
            <w:vAlign w:val="center"/>
          </w:tcPr>
          <w:p w:rsidR="008D5A7D" w:rsidRDefault="001C5955">
            <w:pPr>
              <w:pStyle w:val="TableParagraph"/>
              <w:ind w:left="335" w:right="215"/>
              <w:jc w:val="center"/>
              <w:rPr>
                <w:rFonts w:ascii="仿宋_GB2312" w:eastAsia="仿宋_GB2312"/>
                <w:sz w:val="28"/>
                <w:szCs w:val="28"/>
              </w:rPr>
            </w:pPr>
            <w:proofErr w:type="spellStart"/>
            <w:r>
              <w:rPr>
                <w:rFonts w:ascii="仿宋_GB2312" w:eastAsia="仿宋_GB2312" w:hint="eastAsia"/>
                <w:sz w:val="28"/>
                <w:szCs w:val="28"/>
              </w:rPr>
              <w:t>防护设计</w:t>
            </w:r>
            <w:proofErr w:type="spellEnd"/>
          </w:p>
        </w:tc>
        <w:tc>
          <w:tcPr>
            <w:tcW w:w="3348" w:type="pct"/>
            <w:tcBorders>
              <w:top w:val="single" w:sz="4" w:space="0" w:color="000000"/>
              <w:left w:val="single" w:sz="4" w:space="0" w:color="000000"/>
              <w:bottom w:val="single" w:sz="4" w:space="0" w:color="000000"/>
              <w:right w:val="single" w:sz="6" w:space="0" w:color="000000"/>
            </w:tcBorders>
            <w:vAlign w:val="center"/>
          </w:tcPr>
          <w:p w:rsidR="008D5A7D" w:rsidRDefault="001C5955">
            <w:pPr>
              <w:pStyle w:val="TableParagraph"/>
              <w:snapToGrid w:val="0"/>
              <w:spacing w:before="26"/>
              <w:ind w:left="102" w:right="96"/>
              <w:rPr>
                <w:rFonts w:ascii="仿宋_GB2312" w:eastAsia="仿宋_GB2312"/>
                <w:sz w:val="28"/>
                <w:szCs w:val="28"/>
                <w:lang w:eastAsia="zh-CN"/>
              </w:rPr>
            </w:pPr>
            <w:r>
              <w:rPr>
                <w:rFonts w:ascii="仿宋_GB2312" w:eastAsia="仿宋_GB2312" w:hint="eastAsia"/>
                <w:sz w:val="28"/>
                <w:szCs w:val="28"/>
                <w:lang w:eastAsia="zh-CN"/>
              </w:rPr>
              <w:t>螺旋桨需要有安全围栏（保护罩），围栏最高处需高于螺</w:t>
            </w:r>
            <w:bookmarkStart w:id="0" w:name="_GoBack"/>
            <w:bookmarkEnd w:id="0"/>
            <w:r>
              <w:rPr>
                <w:rFonts w:ascii="仿宋_GB2312" w:eastAsia="仿宋_GB2312" w:hint="eastAsia"/>
                <w:sz w:val="28"/>
                <w:szCs w:val="28"/>
                <w:lang w:eastAsia="zh-CN"/>
              </w:rPr>
              <w:t>旋桨最高处，有效防止螺旋桨造成人员受伤</w:t>
            </w:r>
          </w:p>
        </w:tc>
      </w:tr>
      <w:tr w:rsidR="008D5A7D">
        <w:trPr>
          <w:trHeight w:val="847"/>
          <w:jc w:val="center"/>
        </w:trPr>
        <w:tc>
          <w:tcPr>
            <w:tcW w:w="634" w:type="pct"/>
            <w:tcBorders>
              <w:top w:val="single" w:sz="4" w:space="0" w:color="000000"/>
              <w:left w:val="single" w:sz="4" w:space="0" w:color="000000"/>
              <w:bottom w:val="single" w:sz="4" w:space="0" w:color="000000"/>
              <w:right w:val="single" w:sz="4" w:space="0" w:color="000000"/>
            </w:tcBorders>
            <w:vAlign w:val="center"/>
          </w:tcPr>
          <w:p w:rsidR="008D5A7D" w:rsidRDefault="001C5955">
            <w:pPr>
              <w:pStyle w:val="TableParagraph"/>
              <w:ind w:left="275" w:right="155"/>
              <w:jc w:val="center"/>
              <w:rPr>
                <w:rFonts w:ascii="仿宋_GB2312" w:eastAsia="仿宋_GB2312"/>
                <w:sz w:val="28"/>
                <w:szCs w:val="28"/>
              </w:rPr>
            </w:pPr>
            <w:r>
              <w:rPr>
                <w:rFonts w:ascii="仿宋_GB2312" w:eastAsia="仿宋_GB2312" w:hint="eastAsia"/>
                <w:sz w:val="28"/>
                <w:szCs w:val="28"/>
              </w:rPr>
              <w:t>5</w:t>
            </w:r>
          </w:p>
        </w:tc>
        <w:tc>
          <w:tcPr>
            <w:tcW w:w="1017" w:type="pct"/>
            <w:tcBorders>
              <w:top w:val="single" w:sz="4" w:space="0" w:color="000000"/>
              <w:left w:val="single" w:sz="4" w:space="0" w:color="000000"/>
              <w:bottom w:val="single" w:sz="4" w:space="0" w:color="000000"/>
              <w:right w:val="single" w:sz="4" w:space="0" w:color="000000"/>
            </w:tcBorders>
            <w:vAlign w:val="center"/>
          </w:tcPr>
          <w:p w:rsidR="008D5A7D" w:rsidRDefault="001C5955">
            <w:pPr>
              <w:pStyle w:val="TableParagraph"/>
              <w:spacing w:before="26"/>
              <w:ind w:left="335" w:right="215"/>
              <w:jc w:val="center"/>
              <w:rPr>
                <w:rFonts w:ascii="仿宋_GB2312" w:eastAsia="仿宋_GB2312"/>
                <w:sz w:val="28"/>
                <w:szCs w:val="28"/>
              </w:rPr>
            </w:pPr>
            <w:proofErr w:type="spellStart"/>
            <w:r>
              <w:rPr>
                <w:rFonts w:ascii="仿宋_GB2312" w:eastAsia="仿宋_GB2312" w:hint="eastAsia"/>
                <w:sz w:val="28"/>
                <w:szCs w:val="28"/>
              </w:rPr>
              <w:t>改装尺寸</w:t>
            </w:r>
            <w:proofErr w:type="spellEnd"/>
          </w:p>
        </w:tc>
        <w:tc>
          <w:tcPr>
            <w:tcW w:w="3348" w:type="pct"/>
            <w:tcBorders>
              <w:top w:val="single" w:sz="4" w:space="0" w:color="000000"/>
              <w:left w:val="single" w:sz="4" w:space="0" w:color="000000"/>
              <w:bottom w:val="single" w:sz="4" w:space="0" w:color="000000"/>
              <w:right w:val="single" w:sz="6" w:space="0" w:color="000000"/>
            </w:tcBorders>
            <w:vAlign w:val="center"/>
          </w:tcPr>
          <w:p w:rsidR="008D5A7D" w:rsidRDefault="001C5955">
            <w:pPr>
              <w:pStyle w:val="TableParagraph"/>
              <w:snapToGrid w:val="0"/>
              <w:spacing w:before="26"/>
              <w:ind w:left="102"/>
              <w:rPr>
                <w:rFonts w:ascii="仿宋_GB2312" w:eastAsia="仿宋_GB2312"/>
                <w:sz w:val="28"/>
                <w:szCs w:val="28"/>
                <w:lang w:eastAsia="zh-CN"/>
              </w:rPr>
            </w:pPr>
            <w:r>
              <w:rPr>
                <w:rFonts w:ascii="仿宋_GB2312" w:eastAsia="仿宋_GB2312" w:hint="eastAsia"/>
                <w:sz w:val="28"/>
                <w:szCs w:val="28"/>
                <w:lang w:eastAsia="zh-CN"/>
              </w:rPr>
              <w:t>整体水平外缘直径不大于400mm；加装物垂直高度不超过1</w:t>
            </w:r>
            <w:r>
              <w:rPr>
                <w:rFonts w:ascii="仿宋_GB2312" w:eastAsia="仿宋_GB2312"/>
                <w:sz w:val="28"/>
                <w:szCs w:val="28"/>
                <w:lang w:eastAsia="zh-CN"/>
              </w:rPr>
              <w:t>2</w:t>
            </w:r>
            <w:r>
              <w:rPr>
                <w:rFonts w:ascii="仿宋_GB2312" w:eastAsia="仿宋_GB2312" w:hint="eastAsia"/>
                <w:sz w:val="28"/>
                <w:szCs w:val="28"/>
                <w:lang w:eastAsia="zh-CN"/>
              </w:rPr>
              <w:t>0mm</w:t>
            </w:r>
          </w:p>
        </w:tc>
      </w:tr>
    </w:tbl>
    <w:p w:rsidR="008D5A7D" w:rsidRDefault="001C5955">
      <w:pPr>
        <w:spacing w:line="560" w:lineRule="exact"/>
        <w:ind w:firstLineChars="200" w:firstLine="640"/>
      </w:pPr>
      <w:r>
        <w:rPr>
          <w:rFonts w:ascii="黑体" w:eastAsia="黑体" w:hAnsi="黑体" w:hint="eastAsia"/>
          <w:sz w:val="32"/>
          <w:szCs w:val="32"/>
        </w:rPr>
        <w:t>三、赛场规格与要求</w:t>
      </w:r>
    </w:p>
    <w:p w:rsidR="008D5A7D" w:rsidRDefault="001C5955">
      <w:pPr>
        <w:spacing w:line="560" w:lineRule="exact"/>
        <w:ind w:firstLineChars="200" w:firstLine="640"/>
        <w:rPr>
          <w:rFonts w:ascii="仿宋_GB2312" w:eastAsia="仿宋_GB2312"/>
          <w:sz w:val="32"/>
          <w:szCs w:val="32"/>
        </w:rPr>
      </w:pPr>
      <w:r>
        <w:rPr>
          <w:rFonts w:ascii="仿宋_GB2312" w:eastAsia="仿宋_GB2312" w:hint="eastAsia"/>
          <w:sz w:val="32"/>
          <w:szCs w:val="32"/>
        </w:rPr>
        <w:t>1.场地规格及要求</w:t>
      </w:r>
    </w:p>
    <w:p w:rsidR="008D5A7D" w:rsidRDefault="001C5955">
      <w:pPr>
        <w:spacing w:line="560" w:lineRule="exact"/>
        <w:ind w:firstLineChars="200" w:firstLine="640"/>
        <w:rPr>
          <w:rFonts w:ascii="仿宋_GB2312" w:eastAsia="仿宋_GB2312"/>
          <w:sz w:val="32"/>
          <w:szCs w:val="32"/>
        </w:rPr>
      </w:pPr>
      <w:r>
        <w:rPr>
          <w:rFonts w:ascii="仿宋_GB2312" w:eastAsia="仿宋_GB2312" w:hint="eastAsia"/>
          <w:sz w:val="32"/>
          <w:szCs w:val="32"/>
        </w:rPr>
        <w:t>（1）比赛场地的尺寸长600cm、宽500cm、高300cm。比赛场地内设有“起飞区”、“公共停机区”、“平台”，场地外设有“选手操控区”。</w:t>
      </w:r>
    </w:p>
    <w:p w:rsidR="008D5A7D" w:rsidRDefault="001C5955">
      <w:pPr>
        <w:spacing w:line="560" w:lineRule="exact"/>
        <w:ind w:firstLineChars="200" w:firstLine="640"/>
        <w:rPr>
          <w:rFonts w:ascii="仿宋_GB2312" w:eastAsia="仿宋_GB2312"/>
          <w:sz w:val="32"/>
          <w:szCs w:val="32"/>
        </w:rPr>
      </w:pPr>
      <w:r>
        <w:rPr>
          <w:rFonts w:ascii="仿宋_GB2312" w:eastAsia="仿宋_GB2312" w:hint="eastAsia"/>
          <w:sz w:val="32"/>
          <w:szCs w:val="32"/>
        </w:rPr>
        <w:t>（2）“选手操控区”长</w:t>
      </w:r>
      <w:r>
        <w:rPr>
          <w:rFonts w:ascii="仿宋_GB2312" w:eastAsia="仿宋_GB2312"/>
          <w:sz w:val="32"/>
          <w:szCs w:val="32"/>
        </w:rPr>
        <w:t>3</w:t>
      </w:r>
      <w:r>
        <w:rPr>
          <w:rFonts w:ascii="仿宋_GB2312" w:eastAsia="仿宋_GB2312" w:hint="eastAsia"/>
          <w:sz w:val="32"/>
          <w:szCs w:val="32"/>
        </w:rPr>
        <w:t>00cm、宽100cm，整个比赛过</w:t>
      </w:r>
      <w:r>
        <w:rPr>
          <w:rFonts w:ascii="仿宋_GB2312" w:eastAsia="仿宋_GB2312" w:hint="eastAsia"/>
          <w:sz w:val="32"/>
          <w:szCs w:val="32"/>
        </w:rPr>
        <w:lastRenderedPageBreak/>
        <w:t>程中，选手不允许离开“选手操控区”。</w:t>
      </w:r>
    </w:p>
    <w:p w:rsidR="008D5A7D" w:rsidRDefault="001C5955">
      <w:pPr>
        <w:spacing w:line="560" w:lineRule="exact"/>
        <w:ind w:firstLineChars="200" w:firstLine="420"/>
        <w:jc w:val="center"/>
        <w:rPr>
          <w:rFonts w:ascii="仿宋_GB2312" w:eastAsia="仿宋_GB2312"/>
          <w:sz w:val="32"/>
          <w:szCs w:val="32"/>
        </w:rPr>
      </w:pPr>
      <w:r>
        <w:rPr>
          <w:noProof/>
        </w:rPr>
        <w:drawing>
          <wp:anchor distT="0" distB="0" distL="114300" distR="114300" simplePos="0" relativeHeight="251659264" behindDoc="0" locked="0" layoutInCell="1" allowOverlap="1">
            <wp:simplePos x="0" y="0"/>
            <wp:positionH relativeFrom="column">
              <wp:posOffset>278765</wp:posOffset>
            </wp:positionH>
            <wp:positionV relativeFrom="paragraph">
              <wp:posOffset>153035</wp:posOffset>
            </wp:positionV>
            <wp:extent cx="5274310" cy="3322955"/>
            <wp:effectExtent l="0" t="0" r="3175"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5274000" cy="3322800"/>
                    </a:xfrm>
                    <a:prstGeom prst="rect">
                      <a:avLst/>
                    </a:prstGeom>
                  </pic:spPr>
                </pic:pic>
              </a:graphicData>
            </a:graphic>
          </wp:anchor>
        </w:drawing>
      </w:r>
      <w:r>
        <w:rPr>
          <w:rFonts w:ascii="仿宋_GB2312" w:eastAsia="仿宋_GB2312" w:hint="eastAsia"/>
          <w:sz w:val="32"/>
          <w:szCs w:val="32"/>
        </w:rPr>
        <w:t>图1：比赛场地示意图</w:t>
      </w:r>
    </w:p>
    <w:p w:rsidR="008D5A7D" w:rsidRDefault="001C5955">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以上图例为任务示意图，具体任务布置点及数量以现场实际为准。</w:t>
      </w:r>
    </w:p>
    <w:p w:rsidR="008D5A7D" w:rsidRDefault="001C5955">
      <w:pPr>
        <w:snapToGrid w:val="0"/>
        <w:spacing w:line="560" w:lineRule="exact"/>
        <w:ind w:firstLineChars="200" w:firstLine="640"/>
        <w:rPr>
          <w:rFonts w:ascii="黑体" w:eastAsia="黑体" w:hAnsi="黑体"/>
          <w:sz w:val="32"/>
          <w:szCs w:val="32"/>
        </w:rPr>
      </w:pPr>
      <w:r>
        <w:rPr>
          <w:rFonts w:ascii="仿宋_GB2312" w:eastAsia="仿宋_GB2312" w:hint="eastAsia"/>
          <w:sz w:val="32"/>
          <w:szCs w:val="32"/>
        </w:rPr>
        <w:t>2.道具规格及要求</w:t>
      </w:r>
    </w:p>
    <w:p w:rsidR="008D5A7D" w:rsidRDefault="001C5955">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（1）起飞区：直径75cm的圆形区域，双方参赛选手拥有各自单独的起飞区。</w:t>
      </w:r>
    </w:p>
    <w:p w:rsidR="008D5A7D" w:rsidRDefault="001C5955">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（2）公共停机区：直径75cm的圆形区域，设在场地中心。</w:t>
      </w:r>
    </w:p>
    <w:p w:rsidR="008D5A7D" w:rsidRDefault="001C5955">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（3）近距离平台：尺寸为20cm×20cm，高度为</w:t>
      </w:r>
      <w:r>
        <w:rPr>
          <w:rFonts w:ascii="仿宋_GB2312" w:eastAsia="仿宋_GB2312"/>
          <w:sz w:val="32"/>
          <w:szCs w:val="32"/>
        </w:rPr>
        <w:t>6</w:t>
      </w:r>
      <w:r>
        <w:rPr>
          <w:rFonts w:ascii="仿宋_GB2312" w:eastAsia="仿宋_GB2312" w:hint="eastAsia"/>
          <w:sz w:val="32"/>
          <w:szCs w:val="32"/>
        </w:rPr>
        <w:t>0cm，距离“选手操作区”最近。</w:t>
      </w:r>
    </w:p>
    <w:p w:rsidR="008D5A7D" w:rsidRDefault="001C5955">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（4）中距离平台：尺寸为20cm×20cm，高度为1</w:t>
      </w:r>
      <w:r>
        <w:rPr>
          <w:rFonts w:ascii="仿宋_GB2312" w:eastAsia="仿宋_GB2312"/>
          <w:sz w:val="32"/>
          <w:szCs w:val="32"/>
        </w:rPr>
        <w:t>2</w:t>
      </w:r>
      <w:r>
        <w:rPr>
          <w:rFonts w:ascii="仿宋_GB2312" w:eastAsia="仿宋_GB2312" w:hint="eastAsia"/>
          <w:sz w:val="32"/>
          <w:szCs w:val="32"/>
        </w:rPr>
        <w:t>0cm，距离“选手操作区”较远。</w:t>
      </w:r>
    </w:p>
    <w:p w:rsidR="008D5A7D" w:rsidRDefault="001C5955">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（5）远距离平台：尺寸为20cm×20cm，高度为1</w:t>
      </w:r>
      <w:r>
        <w:rPr>
          <w:rFonts w:ascii="仿宋_GB2312" w:eastAsia="仿宋_GB2312"/>
          <w:sz w:val="32"/>
          <w:szCs w:val="32"/>
        </w:rPr>
        <w:t>6</w:t>
      </w:r>
      <w:r>
        <w:rPr>
          <w:rFonts w:ascii="仿宋_GB2312" w:eastAsia="仿宋_GB2312" w:hint="eastAsia"/>
          <w:sz w:val="32"/>
          <w:szCs w:val="32"/>
        </w:rPr>
        <w:t>0cm，距离“选手操作区”最远。</w:t>
      </w:r>
    </w:p>
    <w:p w:rsidR="008D5A7D" w:rsidRDefault="001C5955">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6）轨道及球框：每个平台外侧连接三条不同长度轨道，轨道最外端设正方形球框。轨道宽度均为6cm。示意图绿色轨道长15cm，球框边长25cm；示意图橙色轨道长30cm，球框边长20cm；示意图紫色轨道长50cm，球框边长15cm。</w:t>
      </w:r>
    </w:p>
    <w:p w:rsidR="008D5A7D" w:rsidRDefault="001C5955">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（7）任务小球：直径为12-14cm的球体，重量约180g，表面有均匀凸点。</w:t>
      </w:r>
    </w:p>
    <w:p w:rsidR="008D5A7D" w:rsidRDefault="001C5955">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（8）平台及轨道装置均水平放置，无倾斜角度，每个平台上放置1只小球。</w:t>
      </w:r>
    </w:p>
    <w:p w:rsidR="008D5A7D" w:rsidRDefault="001C5955">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w:t>
      </w:r>
      <w:r>
        <w:rPr>
          <w:rFonts w:ascii="仿宋_GB2312" w:eastAsia="仿宋_GB2312" w:hint="eastAsia"/>
          <w:sz w:val="32"/>
          <w:szCs w:val="32"/>
        </w:rPr>
        <w:t>比赛场地四周及顶部有安全护网,比赛时参赛人员站在安全护网以外操作。</w:t>
      </w:r>
    </w:p>
    <w:p w:rsidR="008D5A7D" w:rsidRDefault="001C5955">
      <w:pPr>
        <w:spacing w:line="56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sz w:val="32"/>
          <w:szCs w:val="32"/>
        </w:rPr>
        <w:t>.</w:t>
      </w:r>
      <w:r>
        <w:rPr>
          <w:rFonts w:ascii="仿宋_GB2312" w:eastAsia="仿宋_GB2312" w:hint="eastAsia"/>
          <w:sz w:val="32"/>
          <w:szCs w:val="32"/>
        </w:rPr>
        <w:t>实际场地以比赛现场为准。</w:t>
      </w:r>
    </w:p>
    <w:p w:rsidR="008D5A7D" w:rsidRDefault="001C5955">
      <w:pPr>
        <w:spacing w:line="560" w:lineRule="exact"/>
        <w:ind w:firstLineChars="200" w:firstLine="640"/>
        <w:rPr>
          <w:rFonts w:ascii="黑体" w:eastAsia="黑体" w:hAnsi="黑体"/>
          <w:bCs/>
          <w:sz w:val="32"/>
          <w:szCs w:val="32"/>
        </w:rPr>
      </w:pPr>
      <w:r>
        <w:rPr>
          <w:rFonts w:ascii="黑体" w:eastAsia="黑体" w:hAnsi="黑体" w:hint="eastAsia"/>
          <w:sz w:val="32"/>
          <w:szCs w:val="32"/>
        </w:rPr>
        <w:t>四、竞赛</w:t>
      </w:r>
      <w:r>
        <w:rPr>
          <w:rFonts w:ascii="黑体" w:eastAsia="黑体" w:hAnsi="黑体" w:hint="eastAsia"/>
          <w:bCs/>
          <w:sz w:val="32"/>
          <w:szCs w:val="32"/>
        </w:rPr>
        <w:t>任务</w:t>
      </w:r>
    </w:p>
    <w:p w:rsidR="008D5A7D" w:rsidRDefault="001C5955">
      <w:pPr>
        <w:spacing w:line="560" w:lineRule="exact"/>
        <w:ind w:firstLineChars="200" w:firstLine="640"/>
        <w:rPr>
          <w:rFonts w:ascii="仿宋_GB2312" w:eastAsia="仿宋_GB2312"/>
          <w:sz w:val="32"/>
          <w:szCs w:val="32"/>
        </w:rPr>
      </w:pPr>
      <w:r>
        <w:rPr>
          <w:rFonts w:ascii="仿宋_GB2312" w:eastAsia="仿宋_GB2312" w:hint="eastAsia"/>
          <w:sz w:val="32"/>
          <w:szCs w:val="32"/>
        </w:rPr>
        <w:t>参赛选手通过改造无人机使无人机能够完成本竞赛任务。选手在安全网外通过遥控方式操控飞机，将平台上的小球置入球框中。</w:t>
      </w:r>
    </w:p>
    <w:p w:rsidR="008D5A7D" w:rsidRDefault="001C5955">
      <w:pPr>
        <w:spacing w:line="560" w:lineRule="exact"/>
        <w:ind w:firstLineChars="200" w:firstLine="640"/>
        <w:rPr>
          <w:rFonts w:ascii="仿宋_GB2312" w:eastAsia="仿宋_GB2312"/>
          <w:sz w:val="32"/>
          <w:szCs w:val="32"/>
        </w:rPr>
      </w:pPr>
      <w:r>
        <w:rPr>
          <w:rFonts w:ascii="仿宋_GB2312" w:eastAsia="仿宋_GB2312" w:hint="eastAsia"/>
          <w:sz w:val="32"/>
          <w:szCs w:val="32"/>
        </w:rPr>
        <w:t>1.赛制</w:t>
      </w:r>
    </w:p>
    <w:p w:rsidR="008D5A7D" w:rsidRDefault="001C5955">
      <w:pPr>
        <w:spacing w:line="560" w:lineRule="exact"/>
        <w:ind w:firstLineChars="200" w:firstLine="640"/>
        <w:rPr>
          <w:rFonts w:ascii="仿宋_GB2312" w:eastAsia="仿宋_GB2312"/>
          <w:sz w:val="32"/>
          <w:szCs w:val="32"/>
        </w:rPr>
      </w:pPr>
      <w:r>
        <w:rPr>
          <w:rFonts w:ascii="仿宋_GB2312" w:eastAsia="仿宋_GB2312" w:hint="eastAsia"/>
          <w:sz w:val="32"/>
          <w:szCs w:val="32"/>
        </w:rPr>
        <w:t>（1）比赛为小组循环赛与淘汰赛相结合的方式进行。</w:t>
      </w:r>
    </w:p>
    <w:p w:rsidR="000C5D20" w:rsidRDefault="001C5955">
      <w:pPr>
        <w:spacing w:line="560" w:lineRule="exact"/>
        <w:ind w:firstLineChars="200" w:firstLine="640"/>
        <w:rPr>
          <w:rFonts w:ascii="仿宋_GB2312" w:eastAsia="仿宋_GB2312"/>
          <w:sz w:val="32"/>
          <w:szCs w:val="32"/>
        </w:rPr>
      </w:pPr>
      <w:r>
        <w:rPr>
          <w:rFonts w:ascii="仿宋_GB2312" w:eastAsia="仿宋_GB2312" w:hint="eastAsia"/>
          <w:sz w:val="32"/>
          <w:szCs w:val="32"/>
        </w:rPr>
        <w:t>（2）小组循环赛采取抽签形式进行分组，进行单循环积分赛。胜局计1分，败局计0分。</w:t>
      </w:r>
    </w:p>
    <w:p w:rsidR="008D5A7D" w:rsidRDefault="001C5955">
      <w:pPr>
        <w:spacing w:line="560" w:lineRule="exact"/>
        <w:ind w:firstLineChars="200" w:firstLine="640"/>
        <w:rPr>
          <w:rFonts w:ascii="仿宋_GB2312" w:eastAsia="仿宋_GB2312"/>
          <w:sz w:val="32"/>
          <w:szCs w:val="32"/>
          <w:highlight w:val="yellow"/>
        </w:rPr>
      </w:pPr>
      <w:r>
        <w:rPr>
          <w:rFonts w:ascii="仿宋_GB2312" w:eastAsia="仿宋_GB2312" w:hint="eastAsia"/>
          <w:sz w:val="32"/>
          <w:szCs w:val="32"/>
        </w:rPr>
        <w:t>（3）淘汰赛按照分组交叉对战原则逐级进行单场淘汰赛，直至决出冠军。</w:t>
      </w:r>
    </w:p>
    <w:p w:rsidR="008D5A7D" w:rsidRDefault="001C5955">
      <w:pPr>
        <w:spacing w:line="560" w:lineRule="exact"/>
        <w:ind w:firstLineChars="200" w:firstLine="640"/>
        <w:rPr>
          <w:rFonts w:ascii="仿宋_GB2312" w:eastAsia="仿宋_GB2312"/>
          <w:sz w:val="32"/>
          <w:szCs w:val="32"/>
        </w:rPr>
      </w:pPr>
      <w:r>
        <w:rPr>
          <w:rFonts w:ascii="仿宋_GB2312" w:eastAsia="仿宋_GB2312" w:hint="eastAsia"/>
          <w:sz w:val="32"/>
          <w:szCs w:val="32"/>
        </w:rPr>
        <w:t>（4）竞赛组委会有可能根据参赛报名和场馆的实际情况变更赛制。</w:t>
      </w:r>
    </w:p>
    <w:p w:rsidR="008D5A7D" w:rsidRDefault="001C5955">
      <w:pPr>
        <w:spacing w:line="560" w:lineRule="exact"/>
        <w:ind w:firstLineChars="200" w:firstLine="640"/>
        <w:rPr>
          <w:rFonts w:ascii="仿宋_GB2312" w:eastAsia="仿宋_GB2312"/>
          <w:sz w:val="32"/>
          <w:szCs w:val="32"/>
        </w:rPr>
      </w:pPr>
      <w:r>
        <w:rPr>
          <w:rFonts w:ascii="仿宋_GB2312" w:eastAsia="仿宋_GB2312" w:hint="eastAsia"/>
          <w:sz w:val="32"/>
          <w:szCs w:val="32"/>
        </w:rPr>
        <w:t>2.比赛流程</w:t>
      </w:r>
    </w:p>
    <w:p w:rsidR="008D5A7D" w:rsidRDefault="001C5955">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（1）赛前准备</w:t>
      </w:r>
    </w:p>
    <w:p w:rsidR="008D5A7D" w:rsidRDefault="001C5955">
      <w:pPr>
        <w:spacing w:line="560" w:lineRule="exact"/>
        <w:ind w:firstLineChars="200" w:firstLine="640"/>
        <w:rPr>
          <w:rFonts w:ascii="仿宋_GB2312" w:eastAsia="仿宋_GB2312"/>
          <w:sz w:val="32"/>
          <w:szCs w:val="32"/>
        </w:rPr>
      </w:pPr>
      <w:r>
        <w:rPr>
          <w:rFonts w:ascii="仿宋_GB2312" w:eastAsia="仿宋_GB2312" w:hint="eastAsia"/>
          <w:sz w:val="32"/>
          <w:szCs w:val="32"/>
        </w:rPr>
        <w:t>a</w:t>
      </w:r>
      <w:r>
        <w:rPr>
          <w:rFonts w:ascii="仿宋_GB2312" w:eastAsia="仿宋_GB2312"/>
          <w:sz w:val="32"/>
          <w:szCs w:val="32"/>
        </w:rPr>
        <w:t>.</w:t>
      </w:r>
      <w:r>
        <w:rPr>
          <w:rFonts w:ascii="仿宋_GB2312" w:eastAsia="仿宋_GB2312" w:hint="eastAsia"/>
          <w:sz w:val="32"/>
          <w:szCs w:val="32"/>
        </w:rPr>
        <w:t>上场前，裁判对参赛器进行严格检查。器材不符合规定则不允许参赛。</w:t>
      </w:r>
    </w:p>
    <w:p w:rsidR="008D5A7D" w:rsidRDefault="001C5955">
      <w:pPr>
        <w:spacing w:line="560" w:lineRule="exact"/>
        <w:ind w:firstLineChars="200" w:firstLine="640"/>
        <w:rPr>
          <w:rFonts w:ascii="仿宋_GB2312" w:eastAsia="仿宋_GB2312"/>
          <w:sz w:val="32"/>
          <w:szCs w:val="32"/>
        </w:rPr>
      </w:pPr>
      <w:r>
        <w:rPr>
          <w:rFonts w:ascii="仿宋_GB2312" w:eastAsia="仿宋_GB2312" w:hint="eastAsia"/>
          <w:sz w:val="32"/>
          <w:szCs w:val="32"/>
        </w:rPr>
        <w:t>b</w:t>
      </w:r>
      <w:r>
        <w:rPr>
          <w:rFonts w:ascii="仿宋_GB2312" w:eastAsia="仿宋_GB2312"/>
          <w:sz w:val="32"/>
          <w:szCs w:val="32"/>
        </w:rPr>
        <w:t>.</w:t>
      </w:r>
      <w:r>
        <w:rPr>
          <w:rFonts w:ascii="仿宋_GB2312" w:eastAsia="仿宋_GB2312" w:hint="eastAsia"/>
          <w:sz w:val="32"/>
          <w:szCs w:val="32"/>
        </w:rPr>
        <w:t>现场由裁判员讲解竞赛规则，所有选手必须按照指定规则进行竞赛。</w:t>
      </w:r>
    </w:p>
    <w:p w:rsidR="008D5A7D" w:rsidRDefault="001C5955">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c.以参赛队为单位，现场抽签决定比赛分组及比赛顺序并进入相应比赛场地进行比赛。</w:t>
      </w:r>
    </w:p>
    <w:p w:rsidR="008D5A7D" w:rsidRDefault="001C5955">
      <w:pPr>
        <w:spacing w:line="560" w:lineRule="exact"/>
        <w:ind w:firstLineChars="200" w:firstLine="640"/>
        <w:rPr>
          <w:rFonts w:ascii="仿宋_GB2312" w:eastAsia="仿宋_GB2312"/>
          <w:sz w:val="32"/>
          <w:szCs w:val="32"/>
        </w:rPr>
      </w:pPr>
      <w:r>
        <w:rPr>
          <w:rFonts w:ascii="仿宋_GB2312" w:eastAsia="仿宋_GB2312" w:hint="eastAsia"/>
          <w:sz w:val="32"/>
          <w:szCs w:val="32"/>
        </w:rPr>
        <w:t>（2）比赛过程</w:t>
      </w:r>
    </w:p>
    <w:p w:rsidR="008D5A7D" w:rsidRDefault="001C5955">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a.参赛选手以及对应无人机，确定安全后听从裁判“起飞”指令。</w:t>
      </w:r>
    </w:p>
    <w:p w:rsidR="008D5A7D" w:rsidRDefault="001C5955">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b.无人机进入自己的任务区内时，任务的完成顺序无要求，选手可根据自己的判断进行操作。</w:t>
      </w:r>
    </w:p>
    <w:p w:rsidR="008D5A7D" w:rsidRDefault="001C5955">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c.每个“平台”上只放置1个小球，选手只能选择该平台上的1个球框作为目标，将此小球置入。</w:t>
      </w:r>
    </w:p>
    <w:p w:rsidR="008D5A7D" w:rsidRDefault="001C5955">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d.当选手完成自己任务区所有任务时，必须遥控自己的无人机在场地中心的公共停机区降落，并向裁判员报告。</w:t>
      </w:r>
    </w:p>
    <w:p w:rsidR="008D5A7D" w:rsidRDefault="001C5955">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e.每位选手操作无人机时间为</w:t>
      </w:r>
      <w:r>
        <w:rPr>
          <w:rFonts w:ascii="仿宋_GB2312" w:eastAsia="仿宋_GB2312"/>
          <w:sz w:val="32"/>
          <w:szCs w:val="32"/>
        </w:rPr>
        <w:t>90</w:t>
      </w:r>
      <w:r>
        <w:rPr>
          <w:rFonts w:ascii="仿宋_GB2312" w:eastAsia="仿宋_GB2312" w:hint="eastAsia"/>
          <w:sz w:val="32"/>
          <w:szCs w:val="32"/>
        </w:rPr>
        <w:t>秒。当裁判宣布比赛时间到，选手应立即停止对小球的操作并飞往“公共停机区”降落。</w:t>
      </w:r>
    </w:p>
    <w:p w:rsidR="008D5A7D" w:rsidRDefault="001C5955">
      <w:pPr>
        <w:spacing w:line="560" w:lineRule="exact"/>
        <w:ind w:firstLineChars="200" w:firstLine="640"/>
        <w:rPr>
          <w:rFonts w:ascii="黑体" w:eastAsia="黑体" w:hAnsi="黑体"/>
          <w:sz w:val="32"/>
          <w:szCs w:val="32"/>
        </w:rPr>
      </w:pPr>
      <w:r>
        <w:rPr>
          <w:rFonts w:ascii="黑体" w:eastAsia="黑体" w:hAnsi="黑体" w:hint="eastAsia"/>
          <w:sz w:val="32"/>
          <w:szCs w:val="32"/>
        </w:rPr>
        <w:t>五、竞赛评分</w:t>
      </w:r>
    </w:p>
    <w:p w:rsidR="008D5A7D" w:rsidRDefault="001C5955">
      <w:pPr>
        <w:spacing w:line="560" w:lineRule="exact"/>
        <w:ind w:firstLineChars="200" w:firstLine="640"/>
        <w:rPr>
          <w:rFonts w:ascii="黑体" w:eastAsia="黑体" w:hAnsi="黑体"/>
          <w:sz w:val="32"/>
          <w:szCs w:val="32"/>
        </w:rPr>
      </w:pPr>
      <w:r>
        <w:rPr>
          <w:rFonts w:ascii="仿宋_GB2312" w:eastAsia="仿宋_GB2312" w:hint="eastAsia"/>
          <w:sz w:val="32"/>
          <w:szCs w:val="32"/>
        </w:rPr>
        <w:t>1.任务得分</w:t>
      </w:r>
    </w:p>
    <w:tbl>
      <w:tblPr>
        <w:tblStyle w:val="TableNormal"/>
        <w:tblW w:w="91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5"/>
        <w:gridCol w:w="1387"/>
        <w:gridCol w:w="5776"/>
        <w:gridCol w:w="1030"/>
      </w:tblGrid>
      <w:tr w:rsidR="008D5A7D" w:rsidTr="00CD5B1D">
        <w:trPr>
          <w:trHeight w:val="574"/>
          <w:tblHeader/>
          <w:jc w:val="center"/>
        </w:trPr>
        <w:tc>
          <w:tcPr>
            <w:tcW w:w="945" w:type="dxa"/>
            <w:shd w:val="clear" w:color="auto" w:fill="D9D9D9"/>
            <w:vAlign w:val="center"/>
          </w:tcPr>
          <w:p w:rsidR="008D5A7D" w:rsidRDefault="001C5955">
            <w:pPr>
              <w:pStyle w:val="TableParagraph"/>
              <w:spacing w:line="560" w:lineRule="exact"/>
              <w:ind w:left="244" w:right="235"/>
              <w:jc w:val="center"/>
              <w:rPr>
                <w:b/>
                <w:sz w:val="24"/>
                <w:szCs w:val="20"/>
              </w:rPr>
            </w:pPr>
            <w:proofErr w:type="spellStart"/>
            <w:r>
              <w:rPr>
                <w:b/>
                <w:w w:val="95"/>
                <w:sz w:val="24"/>
                <w:szCs w:val="20"/>
              </w:rPr>
              <w:lastRenderedPageBreak/>
              <w:t>序</w:t>
            </w:r>
            <w:r>
              <w:rPr>
                <w:b/>
                <w:spacing w:val="-10"/>
                <w:sz w:val="24"/>
                <w:szCs w:val="20"/>
              </w:rPr>
              <w:t>号</w:t>
            </w:r>
            <w:proofErr w:type="spellEnd"/>
          </w:p>
        </w:tc>
        <w:tc>
          <w:tcPr>
            <w:tcW w:w="1387" w:type="dxa"/>
            <w:shd w:val="clear" w:color="auto" w:fill="D9D9D9"/>
            <w:vAlign w:val="center"/>
          </w:tcPr>
          <w:p w:rsidR="008D5A7D" w:rsidRDefault="001C5955">
            <w:pPr>
              <w:pStyle w:val="TableParagraph"/>
              <w:spacing w:line="560" w:lineRule="exact"/>
              <w:ind w:left="199" w:right="188"/>
              <w:jc w:val="center"/>
              <w:rPr>
                <w:b/>
                <w:sz w:val="24"/>
                <w:szCs w:val="20"/>
              </w:rPr>
            </w:pPr>
            <w:proofErr w:type="spellStart"/>
            <w:r>
              <w:rPr>
                <w:b/>
                <w:w w:val="95"/>
                <w:sz w:val="24"/>
                <w:szCs w:val="20"/>
              </w:rPr>
              <w:t>任务名</w:t>
            </w:r>
            <w:r>
              <w:rPr>
                <w:b/>
                <w:spacing w:val="-10"/>
                <w:w w:val="95"/>
                <w:sz w:val="24"/>
                <w:szCs w:val="20"/>
              </w:rPr>
              <w:t>称</w:t>
            </w:r>
            <w:proofErr w:type="spellEnd"/>
          </w:p>
        </w:tc>
        <w:tc>
          <w:tcPr>
            <w:tcW w:w="5776" w:type="dxa"/>
            <w:shd w:val="clear" w:color="auto" w:fill="D9D9D9"/>
            <w:vAlign w:val="center"/>
          </w:tcPr>
          <w:p w:rsidR="008D5A7D" w:rsidRDefault="001C5955">
            <w:pPr>
              <w:pStyle w:val="TableParagraph"/>
              <w:spacing w:line="560" w:lineRule="exact"/>
              <w:ind w:left="2637" w:right="2628"/>
              <w:jc w:val="center"/>
              <w:rPr>
                <w:b/>
                <w:sz w:val="24"/>
                <w:szCs w:val="20"/>
              </w:rPr>
            </w:pPr>
            <w:proofErr w:type="spellStart"/>
            <w:r>
              <w:rPr>
                <w:b/>
                <w:w w:val="95"/>
                <w:sz w:val="24"/>
                <w:szCs w:val="20"/>
              </w:rPr>
              <w:t>说</w:t>
            </w:r>
            <w:r>
              <w:rPr>
                <w:b/>
                <w:spacing w:val="-10"/>
                <w:sz w:val="24"/>
                <w:szCs w:val="20"/>
              </w:rPr>
              <w:t>明</w:t>
            </w:r>
            <w:proofErr w:type="spellEnd"/>
          </w:p>
        </w:tc>
        <w:tc>
          <w:tcPr>
            <w:tcW w:w="1030" w:type="dxa"/>
            <w:shd w:val="clear" w:color="auto" w:fill="D9D9D9"/>
            <w:vAlign w:val="center"/>
          </w:tcPr>
          <w:p w:rsidR="008D5A7D" w:rsidRDefault="001C5955">
            <w:pPr>
              <w:pStyle w:val="TableParagraph"/>
              <w:spacing w:line="560" w:lineRule="exact"/>
              <w:ind w:left="110" w:right="101"/>
              <w:jc w:val="center"/>
              <w:rPr>
                <w:b/>
                <w:sz w:val="24"/>
                <w:szCs w:val="20"/>
              </w:rPr>
            </w:pPr>
            <w:proofErr w:type="spellStart"/>
            <w:r>
              <w:rPr>
                <w:b/>
                <w:w w:val="95"/>
                <w:sz w:val="24"/>
                <w:szCs w:val="20"/>
              </w:rPr>
              <w:t>得</w:t>
            </w:r>
            <w:r>
              <w:rPr>
                <w:b/>
                <w:spacing w:val="-10"/>
                <w:sz w:val="24"/>
                <w:szCs w:val="20"/>
              </w:rPr>
              <w:t>分</w:t>
            </w:r>
            <w:proofErr w:type="spellEnd"/>
          </w:p>
        </w:tc>
      </w:tr>
      <w:tr w:rsidR="008D5A7D" w:rsidTr="00CD5B1D">
        <w:trPr>
          <w:trHeight w:val="477"/>
          <w:tblHeader/>
          <w:jc w:val="center"/>
        </w:trPr>
        <w:tc>
          <w:tcPr>
            <w:tcW w:w="945" w:type="dxa"/>
            <w:vMerge w:val="restart"/>
            <w:vAlign w:val="center"/>
          </w:tcPr>
          <w:p w:rsidR="008D5A7D" w:rsidRDefault="001C5955">
            <w:pPr>
              <w:pStyle w:val="TableParagraph"/>
              <w:spacing w:line="560" w:lineRule="exact"/>
              <w:ind w:left="9"/>
              <w:jc w:val="center"/>
              <w:rPr>
                <w:sz w:val="24"/>
                <w:szCs w:val="20"/>
              </w:rPr>
            </w:pPr>
            <w:r>
              <w:rPr>
                <w:rFonts w:hint="eastAsia"/>
                <w:sz w:val="24"/>
                <w:szCs w:val="20"/>
              </w:rPr>
              <w:t>1</w:t>
            </w:r>
          </w:p>
        </w:tc>
        <w:tc>
          <w:tcPr>
            <w:tcW w:w="1387" w:type="dxa"/>
            <w:vMerge w:val="restart"/>
            <w:vAlign w:val="center"/>
          </w:tcPr>
          <w:p w:rsidR="008D5A7D" w:rsidRDefault="001C5955">
            <w:pPr>
              <w:pStyle w:val="TableParagraph"/>
              <w:spacing w:line="560" w:lineRule="exact"/>
              <w:ind w:left="213"/>
              <w:rPr>
                <w:sz w:val="24"/>
                <w:szCs w:val="24"/>
              </w:rPr>
            </w:pPr>
            <w:proofErr w:type="spellStart"/>
            <w:r>
              <w:rPr>
                <w:rFonts w:hint="eastAsia"/>
                <w:sz w:val="24"/>
                <w:szCs w:val="24"/>
              </w:rPr>
              <w:t>长空蹴鞠</w:t>
            </w:r>
            <w:proofErr w:type="spellEnd"/>
          </w:p>
        </w:tc>
        <w:tc>
          <w:tcPr>
            <w:tcW w:w="5776" w:type="dxa"/>
            <w:vAlign w:val="center"/>
          </w:tcPr>
          <w:p w:rsidR="008D5A7D" w:rsidRDefault="001C5955">
            <w:pPr>
              <w:pStyle w:val="TableParagraph"/>
              <w:spacing w:before="86" w:line="560" w:lineRule="exact"/>
              <w:ind w:left="108"/>
              <w:rPr>
                <w:sz w:val="24"/>
                <w:szCs w:val="24"/>
              </w:rPr>
            </w:pPr>
            <w:r>
              <w:rPr>
                <w:rFonts w:hint="eastAsia"/>
                <w:sz w:val="24"/>
                <w:szCs w:val="24"/>
              </w:rPr>
              <w:t>小球进入25cm球框</w:t>
            </w:r>
          </w:p>
        </w:tc>
        <w:tc>
          <w:tcPr>
            <w:tcW w:w="1030" w:type="dxa"/>
            <w:vAlign w:val="center"/>
          </w:tcPr>
          <w:p w:rsidR="008D5A7D" w:rsidRDefault="001C5955">
            <w:pPr>
              <w:pStyle w:val="TableParagraph"/>
              <w:spacing w:before="86" w:line="560" w:lineRule="exact"/>
              <w:ind w:left="107" w:right="101"/>
              <w:jc w:val="center"/>
              <w:rPr>
                <w:sz w:val="24"/>
                <w:szCs w:val="20"/>
              </w:rPr>
            </w:pPr>
            <w:r>
              <w:rPr>
                <w:sz w:val="24"/>
                <w:szCs w:val="20"/>
              </w:rPr>
              <w:t>10</w:t>
            </w:r>
          </w:p>
        </w:tc>
      </w:tr>
      <w:tr w:rsidR="008D5A7D" w:rsidTr="00CD5B1D">
        <w:trPr>
          <w:trHeight w:val="481"/>
          <w:tblHeader/>
          <w:jc w:val="center"/>
        </w:trPr>
        <w:tc>
          <w:tcPr>
            <w:tcW w:w="945" w:type="dxa"/>
            <w:vMerge/>
            <w:tcBorders>
              <w:top w:val="nil"/>
              <w:bottom w:val="nil"/>
            </w:tcBorders>
            <w:vAlign w:val="center"/>
          </w:tcPr>
          <w:p w:rsidR="008D5A7D" w:rsidRDefault="008D5A7D">
            <w:pPr>
              <w:spacing w:line="560" w:lineRule="exact"/>
              <w:rPr>
                <w:kern w:val="0"/>
                <w:sz w:val="2"/>
                <w:szCs w:val="2"/>
              </w:rPr>
            </w:pPr>
          </w:p>
        </w:tc>
        <w:tc>
          <w:tcPr>
            <w:tcW w:w="1387" w:type="dxa"/>
            <w:vMerge/>
            <w:tcBorders>
              <w:top w:val="nil"/>
              <w:bottom w:val="nil"/>
            </w:tcBorders>
            <w:vAlign w:val="center"/>
          </w:tcPr>
          <w:p w:rsidR="008D5A7D" w:rsidRDefault="008D5A7D">
            <w:pPr>
              <w:spacing w:line="560" w:lineRule="exact"/>
              <w:rPr>
                <w:rFonts w:ascii="宋体" w:eastAsia="宋体" w:hAnsi="宋体" w:cs="宋体"/>
                <w:kern w:val="0"/>
                <w:sz w:val="24"/>
                <w:szCs w:val="24"/>
              </w:rPr>
            </w:pPr>
          </w:p>
        </w:tc>
        <w:tc>
          <w:tcPr>
            <w:tcW w:w="5776" w:type="dxa"/>
            <w:vAlign w:val="center"/>
          </w:tcPr>
          <w:p w:rsidR="008D5A7D" w:rsidRDefault="001C5955">
            <w:pPr>
              <w:pStyle w:val="TableParagraph"/>
              <w:spacing w:before="88" w:line="560" w:lineRule="exact"/>
              <w:ind w:left="108"/>
              <w:rPr>
                <w:sz w:val="24"/>
                <w:szCs w:val="24"/>
              </w:rPr>
            </w:pPr>
            <w:r>
              <w:rPr>
                <w:rFonts w:hint="eastAsia"/>
                <w:sz w:val="24"/>
                <w:szCs w:val="24"/>
              </w:rPr>
              <w:t>小球进入20cm球框</w:t>
            </w:r>
          </w:p>
        </w:tc>
        <w:tc>
          <w:tcPr>
            <w:tcW w:w="1030" w:type="dxa"/>
            <w:vAlign w:val="center"/>
          </w:tcPr>
          <w:p w:rsidR="008D5A7D" w:rsidRDefault="001C5955">
            <w:pPr>
              <w:pStyle w:val="TableParagraph"/>
              <w:spacing w:before="88" w:line="560" w:lineRule="exact"/>
              <w:ind w:left="107" w:right="101"/>
              <w:jc w:val="center"/>
              <w:rPr>
                <w:sz w:val="24"/>
                <w:szCs w:val="20"/>
              </w:rPr>
            </w:pPr>
            <w:r>
              <w:rPr>
                <w:rFonts w:hint="eastAsia"/>
                <w:sz w:val="24"/>
                <w:szCs w:val="20"/>
              </w:rPr>
              <w:t>20</w:t>
            </w:r>
          </w:p>
        </w:tc>
      </w:tr>
      <w:tr w:rsidR="008D5A7D" w:rsidTr="00CD5B1D">
        <w:trPr>
          <w:trHeight w:val="481"/>
          <w:tblHeader/>
          <w:jc w:val="center"/>
        </w:trPr>
        <w:tc>
          <w:tcPr>
            <w:tcW w:w="945" w:type="dxa"/>
            <w:vMerge/>
            <w:tcBorders>
              <w:top w:val="nil"/>
              <w:bottom w:val="nil"/>
            </w:tcBorders>
            <w:vAlign w:val="center"/>
          </w:tcPr>
          <w:p w:rsidR="008D5A7D" w:rsidRDefault="008D5A7D">
            <w:pPr>
              <w:spacing w:line="560" w:lineRule="exact"/>
              <w:rPr>
                <w:kern w:val="0"/>
                <w:sz w:val="2"/>
                <w:szCs w:val="2"/>
              </w:rPr>
            </w:pPr>
          </w:p>
        </w:tc>
        <w:tc>
          <w:tcPr>
            <w:tcW w:w="1387" w:type="dxa"/>
            <w:vMerge/>
            <w:tcBorders>
              <w:top w:val="nil"/>
              <w:bottom w:val="nil"/>
            </w:tcBorders>
            <w:vAlign w:val="center"/>
          </w:tcPr>
          <w:p w:rsidR="008D5A7D" w:rsidRDefault="008D5A7D">
            <w:pPr>
              <w:spacing w:line="560" w:lineRule="exact"/>
              <w:rPr>
                <w:rFonts w:ascii="宋体" w:eastAsia="宋体" w:hAnsi="宋体" w:cs="宋体"/>
                <w:kern w:val="0"/>
                <w:sz w:val="24"/>
                <w:szCs w:val="24"/>
              </w:rPr>
            </w:pPr>
          </w:p>
        </w:tc>
        <w:tc>
          <w:tcPr>
            <w:tcW w:w="5776" w:type="dxa"/>
            <w:vAlign w:val="center"/>
          </w:tcPr>
          <w:p w:rsidR="008D5A7D" w:rsidRDefault="001C5955">
            <w:pPr>
              <w:pStyle w:val="TableParagraph"/>
              <w:spacing w:before="88" w:line="560" w:lineRule="exact"/>
              <w:ind w:left="108"/>
              <w:rPr>
                <w:sz w:val="24"/>
                <w:szCs w:val="24"/>
              </w:rPr>
            </w:pPr>
            <w:r>
              <w:rPr>
                <w:rFonts w:hint="eastAsia"/>
                <w:sz w:val="24"/>
                <w:szCs w:val="24"/>
              </w:rPr>
              <w:t>小球进入15cm球框</w:t>
            </w:r>
          </w:p>
        </w:tc>
        <w:tc>
          <w:tcPr>
            <w:tcW w:w="1030" w:type="dxa"/>
            <w:vAlign w:val="center"/>
          </w:tcPr>
          <w:p w:rsidR="008D5A7D" w:rsidRDefault="001C5955">
            <w:pPr>
              <w:pStyle w:val="TableParagraph"/>
              <w:spacing w:before="88" w:line="560" w:lineRule="exact"/>
              <w:ind w:left="107" w:right="101"/>
              <w:jc w:val="center"/>
              <w:rPr>
                <w:sz w:val="24"/>
                <w:szCs w:val="20"/>
              </w:rPr>
            </w:pPr>
            <w:r>
              <w:rPr>
                <w:rFonts w:hint="eastAsia"/>
                <w:sz w:val="24"/>
                <w:szCs w:val="20"/>
              </w:rPr>
              <w:t>30</w:t>
            </w:r>
          </w:p>
        </w:tc>
      </w:tr>
      <w:tr w:rsidR="008D5A7D" w:rsidTr="00D30141">
        <w:trPr>
          <w:trHeight w:val="2407"/>
          <w:tblHeader/>
          <w:jc w:val="center"/>
        </w:trPr>
        <w:tc>
          <w:tcPr>
            <w:tcW w:w="945" w:type="dxa"/>
            <w:tcBorders>
              <w:top w:val="nil"/>
            </w:tcBorders>
            <w:vAlign w:val="center"/>
          </w:tcPr>
          <w:p w:rsidR="008D5A7D" w:rsidRDefault="001C5955">
            <w:pPr>
              <w:pStyle w:val="TableParagraph"/>
              <w:ind w:left="9"/>
              <w:jc w:val="center"/>
              <w:rPr>
                <w:sz w:val="2"/>
                <w:szCs w:val="2"/>
              </w:rPr>
            </w:pPr>
            <w:r>
              <w:rPr>
                <w:rFonts w:hint="eastAsia"/>
                <w:sz w:val="24"/>
                <w:szCs w:val="20"/>
              </w:rPr>
              <w:t>2</w:t>
            </w:r>
          </w:p>
        </w:tc>
        <w:tc>
          <w:tcPr>
            <w:tcW w:w="1387" w:type="dxa"/>
            <w:tcBorders>
              <w:top w:val="nil"/>
            </w:tcBorders>
            <w:vAlign w:val="center"/>
          </w:tcPr>
          <w:p w:rsidR="008D5A7D" w:rsidRDefault="001C5955">
            <w:pPr>
              <w:pStyle w:val="TableParagraph"/>
              <w:ind w:left="199" w:right="190"/>
              <w:jc w:val="center"/>
              <w:rPr>
                <w:sz w:val="2"/>
                <w:szCs w:val="2"/>
              </w:rPr>
            </w:pPr>
            <w:proofErr w:type="spellStart"/>
            <w:r>
              <w:rPr>
                <w:rFonts w:hint="eastAsia"/>
                <w:spacing w:val="-3"/>
                <w:sz w:val="24"/>
                <w:szCs w:val="20"/>
              </w:rPr>
              <w:t>降落分</w:t>
            </w:r>
            <w:proofErr w:type="spellEnd"/>
          </w:p>
        </w:tc>
        <w:tc>
          <w:tcPr>
            <w:tcW w:w="5776" w:type="dxa"/>
            <w:vAlign w:val="center"/>
          </w:tcPr>
          <w:p w:rsidR="00D30141" w:rsidRDefault="00D30141" w:rsidP="00D30141">
            <w:pPr>
              <w:pStyle w:val="1"/>
              <w:jc w:val="left"/>
              <w:rPr>
                <w:rFonts w:ascii="宋体" w:eastAsia="宋体" w:hAnsi="宋体"/>
                <w:kern w:val="0"/>
                <w:sz w:val="24"/>
                <w:szCs w:val="24"/>
                <w:lang w:eastAsia="zh-CN"/>
              </w:rPr>
            </w:pPr>
            <w:r w:rsidRPr="00D30141">
              <w:rPr>
                <w:rFonts w:ascii="宋体" w:eastAsia="宋体" w:hAnsi="宋体" w:hint="eastAsia"/>
                <w:kern w:val="0"/>
                <w:sz w:val="24"/>
                <w:szCs w:val="24"/>
                <w:lang w:eastAsia="zh-CN"/>
              </w:rPr>
              <w:t>“降落分”为附加分，只有进球得分相同时计算。</w:t>
            </w:r>
          </w:p>
          <w:p w:rsidR="00D30141" w:rsidRDefault="00D30141" w:rsidP="00D30141">
            <w:pPr>
              <w:pStyle w:val="1"/>
              <w:jc w:val="left"/>
              <w:rPr>
                <w:rFonts w:ascii="宋体" w:eastAsia="宋体" w:hAnsi="宋体"/>
                <w:kern w:val="0"/>
                <w:sz w:val="24"/>
                <w:szCs w:val="24"/>
                <w:lang w:eastAsia="zh-CN"/>
              </w:rPr>
            </w:pPr>
            <w:r>
              <w:rPr>
                <w:rFonts w:ascii="宋体" w:eastAsia="宋体" w:hAnsi="宋体" w:hint="eastAsia"/>
                <w:kern w:val="0"/>
                <w:sz w:val="24"/>
                <w:szCs w:val="24"/>
                <w:lang w:eastAsia="zh-CN"/>
              </w:rPr>
              <w:t>1.无人机机身落入停机坪区域内得分。</w:t>
            </w:r>
          </w:p>
          <w:p w:rsidR="00D30141" w:rsidRDefault="00D30141" w:rsidP="00D30141">
            <w:pPr>
              <w:pStyle w:val="1"/>
              <w:jc w:val="left"/>
              <w:rPr>
                <w:rFonts w:ascii="宋体" w:eastAsia="宋体" w:hAnsi="宋体"/>
                <w:kern w:val="0"/>
                <w:sz w:val="24"/>
                <w:szCs w:val="24"/>
                <w:lang w:eastAsia="zh-CN"/>
              </w:rPr>
            </w:pPr>
            <w:r>
              <w:rPr>
                <w:rFonts w:ascii="宋体" w:eastAsia="宋体" w:hAnsi="宋体" w:hint="eastAsia"/>
                <w:kern w:val="0"/>
                <w:sz w:val="24"/>
                <w:szCs w:val="24"/>
                <w:lang w:eastAsia="zh-CN"/>
              </w:rPr>
              <w:t>2</w:t>
            </w:r>
            <w:r>
              <w:rPr>
                <w:rFonts w:ascii="宋体" w:eastAsia="宋体" w:hAnsi="宋体"/>
                <w:kern w:val="0"/>
                <w:sz w:val="24"/>
                <w:szCs w:val="24"/>
                <w:lang w:eastAsia="zh-CN"/>
              </w:rPr>
              <w:t>.</w:t>
            </w:r>
            <w:r>
              <w:rPr>
                <w:rFonts w:ascii="宋体" w:eastAsia="宋体" w:hAnsi="宋体" w:hint="eastAsia"/>
                <w:kern w:val="0"/>
                <w:sz w:val="24"/>
                <w:szCs w:val="24"/>
                <w:lang w:eastAsia="zh-CN"/>
              </w:rPr>
              <w:t>无人机机身同时落入停机坪区域内，</w:t>
            </w:r>
            <w:r w:rsidRPr="00D30141">
              <w:rPr>
                <w:rFonts w:ascii="宋体" w:eastAsia="宋体" w:hAnsi="宋体" w:hint="eastAsia"/>
                <w:kern w:val="0"/>
                <w:sz w:val="24"/>
                <w:szCs w:val="24"/>
                <w:lang w:eastAsia="zh-CN"/>
              </w:rPr>
              <w:t>螺旋桨</w:t>
            </w:r>
            <w:r>
              <w:rPr>
                <w:rFonts w:ascii="宋体" w:eastAsia="宋体" w:hAnsi="宋体" w:hint="eastAsia"/>
                <w:kern w:val="0"/>
                <w:sz w:val="24"/>
                <w:szCs w:val="24"/>
                <w:lang w:eastAsia="zh-CN"/>
              </w:rPr>
              <w:t>先</w:t>
            </w:r>
            <w:r w:rsidRPr="00D30141">
              <w:rPr>
                <w:rFonts w:ascii="宋体" w:eastAsia="宋体" w:hAnsi="宋体" w:hint="eastAsia"/>
                <w:kern w:val="0"/>
                <w:sz w:val="24"/>
                <w:szCs w:val="24"/>
                <w:lang w:eastAsia="zh-CN"/>
              </w:rPr>
              <w:t>全部停止转动</w:t>
            </w:r>
            <w:r>
              <w:rPr>
                <w:rFonts w:ascii="宋体" w:eastAsia="宋体" w:hAnsi="宋体" w:hint="eastAsia"/>
                <w:kern w:val="0"/>
                <w:sz w:val="24"/>
                <w:szCs w:val="24"/>
                <w:lang w:eastAsia="zh-CN"/>
              </w:rPr>
              <w:t>的一方得分。</w:t>
            </w:r>
          </w:p>
          <w:p w:rsidR="008D5A7D" w:rsidRPr="00512F68" w:rsidRDefault="00D30141" w:rsidP="00D30141">
            <w:pPr>
              <w:pStyle w:val="1"/>
              <w:jc w:val="left"/>
              <w:rPr>
                <w:rFonts w:ascii="宋体" w:eastAsia="宋体" w:hAnsi="宋体"/>
                <w:kern w:val="0"/>
                <w:sz w:val="24"/>
                <w:szCs w:val="24"/>
                <w:lang w:eastAsia="zh-CN"/>
              </w:rPr>
            </w:pPr>
            <w:r>
              <w:rPr>
                <w:rFonts w:ascii="宋体" w:eastAsia="宋体" w:hAnsi="宋体" w:hint="eastAsia"/>
                <w:kern w:val="0"/>
                <w:sz w:val="24"/>
                <w:szCs w:val="24"/>
                <w:lang w:eastAsia="zh-CN"/>
              </w:rPr>
              <w:t>3</w:t>
            </w:r>
            <w:r>
              <w:rPr>
                <w:rFonts w:ascii="宋体" w:eastAsia="宋体" w:hAnsi="宋体"/>
                <w:kern w:val="0"/>
                <w:sz w:val="24"/>
                <w:szCs w:val="24"/>
                <w:lang w:eastAsia="zh-CN"/>
              </w:rPr>
              <w:t>.</w:t>
            </w:r>
            <w:r>
              <w:rPr>
                <w:rFonts w:ascii="宋体" w:eastAsia="宋体" w:hAnsi="宋体" w:hint="eastAsia"/>
                <w:kern w:val="0"/>
                <w:sz w:val="24"/>
                <w:szCs w:val="24"/>
                <w:lang w:eastAsia="zh-CN"/>
              </w:rPr>
              <w:t xml:space="preserve"> 无人机机身同时落入停机坪区域内，</w:t>
            </w:r>
            <w:r w:rsidRPr="00D30141">
              <w:rPr>
                <w:rFonts w:ascii="宋体" w:eastAsia="宋体" w:hAnsi="宋体" w:hint="eastAsia"/>
                <w:kern w:val="0"/>
                <w:sz w:val="24"/>
                <w:szCs w:val="24"/>
                <w:lang w:eastAsia="zh-CN"/>
              </w:rPr>
              <w:t>螺旋桨</w:t>
            </w:r>
            <w:r w:rsidR="00512F68">
              <w:rPr>
                <w:rFonts w:ascii="宋体" w:eastAsia="宋体" w:hAnsi="宋体" w:hint="eastAsia"/>
                <w:kern w:val="0"/>
                <w:sz w:val="24"/>
                <w:szCs w:val="24"/>
                <w:lang w:eastAsia="zh-CN"/>
              </w:rPr>
              <w:t>同时</w:t>
            </w:r>
            <w:r w:rsidRPr="00D30141">
              <w:rPr>
                <w:rFonts w:ascii="宋体" w:eastAsia="宋体" w:hAnsi="宋体" w:hint="eastAsia"/>
                <w:kern w:val="0"/>
                <w:sz w:val="24"/>
                <w:szCs w:val="24"/>
                <w:lang w:eastAsia="zh-CN"/>
              </w:rPr>
              <w:t>全部停止</w:t>
            </w:r>
            <w:r w:rsidR="00512F68">
              <w:rPr>
                <w:rFonts w:ascii="宋体" w:eastAsia="宋体" w:hAnsi="宋体" w:hint="eastAsia"/>
                <w:kern w:val="0"/>
                <w:sz w:val="24"/>
                <w:szCs w:val="24"/>
                <w:lang w:eastAsia="zh-CN"/>
              </w:rPr>
              <w:t>，无人机轴距</w:t>
            </w:r>
            <w:proofErr w:type="gramStart"/>
            <w:r w:rsidR="00512F68">
              <w:rPr>
                <w:rFonts w:ascii="宋体" w:eastAsia="宋体" w:hAnsi="宋体" w:hint="eastAsia"/>
                <w:kern w:val="0"/>
                <w:sz w:val="24"/>
                <w:szCs w:val="24"/>
                <w:lang w:eastAsia="zh-CN"/>
              </w:rPr>
              <w:t>交点</w:t>
            </w:r>
            <w:r w:rsidRPr="00D30141">
              <w:rPr>
                <w:rFonts w:ascii="宋体" w:eastAsia="宋体" w:hAnsi="宋体" w:hint="eastAsia"/>
                <w:kern w:val="0"/>
                <w:sz w:val="24"/>
                <w:szCs w:val="24"/>
                <w:lang w:eastAsia="zh-CN"/>
              </w:rPr>
              <w:t>距坪中心</w:t>
            </w:r>
            <w:proofErr w:type="gramEnd"/>
            <w:r w:rsidRPr="00D30141">
              <w:rPr>
                <w:rFonts w:ascii="宋体" w:eastAsia="宋体" w:hAnsi="宋体" w:hint="eastAsia"/>
                <w:kern w:val="0"/>
                <w:sz w:val="24"/>
                <w:szCs w:val="24"/>
                <w:lang w:eastAsia="zh-CN"/>
              </w:rPr>
              <w:t>位置近者</w:t>
            </w:r>
            <w:r w:rsidR="00512F68">
              <w:rPr>
                <w:rFonts w:ascii="宋体" w:eastAsia="宋体" w:hAnsi="宋体" w:hint="eastAsia"/>
                <w:kern w:val="0"/>
                <w:sz w:val="24"/>
                <w:szCs w:val="24"/>
                <w:lang w:eastAsia="zh-CN"/>
              </w:rPr>
              <w:t>得</w:t>
            </w:r>
            <w:r w:rsidRPr="00D30141">
              <w:rPr>
                <w:rFonts w:ascii="宋体" w:eastAsia="宋体" w:hAnsi="宋体" w:hint="eastAsia"/>
                <w:kern w:val="0"/>
                <w:sz w:val="24"/>
                <w:szCs w:val="24"/>
                <w:lang w:eastAsia="zh-CN"/>
              </w:rPr>
              <w:t>分。</w:t>
            </w:r>
          </w:p>
        </w:tc>
        <w:tc>
          <w:tcPr>
            <w:tcW w:w="1030" w:type="dxa"/>
            <w:vAlign w:val="center"/>
          </w:tcPr>
          <w:p w:rsidR="008D5A7D" w:rsidRDefault="001C5955">
            <w:pPr>
              <w:pStyle w:val="TableParagraph"/>
              <w:ind w:left="107" w:right="101"/>
              <w:jc w:val="center"/>
              <w:rPr>
                <w:sz w:val="24"/>
                <w:szCs w:val="20"/>
              </w:rPr>
            </w:pPr>
            <w:r>
              <w:rPr>
                <w:rFonts w:hint="eastAsia"/>
                <w:spacing w:val="-5"/>
                <w:sz w:val="24"/>
                <w:szCs w:val="20"/>
              </w:rPr>
              <w:t>10（附加分）</w:t>
            </w:r>
          </w:p>
        </w:tc>
      </w:tr>
    </w:tbl>
    <w:p w:rsidR="008D5A7D" w:rsidRDefault="001C5955">
      <w:pPr>
        <w:snapToGrid w:val="0"/>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比赛时间到小球还在滚动，那么则以小球最终是否进入球</w:t>
      </w:r>
      <w:proofErr w:type="gramStart"/>
      <w:r>
        <w:rPr>
          <w:rFonts w:ascii="仿宋_GB2312" w:eastAsia="仿宋_GB2312" w:hint="eastAsia"/>
          <w:sz w:val="32"/>
          <w:szCs w:val="32"/>
        </w:rPr>
        <w:t>框判断</w:t>
      </w:r>
      <w:proofErr w:type="gramEnd"/>
      <w:r>
        <w:rPr>
          <w:rFonts w:ascii="仿宋_GB2312" w:eastAsia="仿宋_GB2312" w:hint="eastAsia"/>
          <w:sz w:val="32"/>
          <w:szCs w:val="32"/>
        </w:rPr>
        <w:t>得分。</w:t>
      </w:r>
    </w:p>
    <w:p w:rsidR="008D5A7D" w:rsidRDefault="001C5955">
      <w:pPr>
        <w:snapToGrid w:val="0"/>
        <w:spacing w:line="560" w:lineRule="exact"/>
        <w:ind w:firstLineChars="200" w:firstLine="640"/>
        <w:rPr>
          <w:rFonts w:ascii="仿宋_GB2312" w:eastAsia="仿宋_GB2312"/>
          <w:sz w:val="32"/>
          <w:szCs w:val="32"/>
          <w:highlight w:val="yellow"/>
        </w:rPr>
      </w:pPr>
      <w:r>
        <w:rPr>
          <w:rFonts w:ascii="仿宋_GB2312" w:eastAsia="仿宋_GB2312" w:hint="eastAsia"/>
          <w:sz w:val="32"/>
          <w:szCs w:val="32"/>
        </w:rPr>
        <w:t>3.在比赛过程中，若小球落地，选手不可以对该小球继续操作，该小球记为0分。如果小球掉入非对应装置的球框中，该小球记为0分。</w:t>
      </w:r>
    </w:p>
    <w:p w:rsidR="008D5A7D" w:rsidRDefault="001C5955">
      <w:pPr>
        <w:snapToGrid w:val="0"/>
        <w:spacing w:line="560" w:lineRule="exact"/>
        <w:ind w:firstLineChars="200" w:firstLine="640"/>
        <w:rPr>
          <w:rFonts w:ascii="仿宋_GB2312" w:eastAsia="仿宋_GB2312"/>
          <w:sz w:val="32"/>
          <w:szCs w:val="32"/>
          <w:highlight w:val="yellow"/>
        </w:rPr>
      </w:pPr>
      <w:r>
        <w:rPr>
          <w:rFonts w:ascii="仿宋_GB2312" w:eastAsia="仿宋_GB2312" w:hint="eastAsia"/>
          <w:sz w:val="32"/>
          <w:szCs w:val="32"/>
        </w:rPr>
        <w:t>4.选手现场操作中由于设备自身故障造成长时间无法起飞（</w:t>
      </w:r>
      <w:r>
        <w:rPr>
          <w:rFonts w:ascii="仿宋_GB2312" w:eastAsia="仿宋_GB2312"/>
          <w:sz w:val="32"/>
          <w:szCs w:val="32"/>
        </w:rPr>
        <w:t>3</w:t>
      </w:r>
      <w:r>
        <w:rPr>
          <w:rFonts w:ascii="仿宋_GB2312" w:eastAsia="仿宋_GB2312" w:hint="eastAsia"/>
          <w:sz w:val="32"/>
          <w:szCs w:val="32"/>
        </w:rPr>
        <w:t>0秒内），现场裁判可在安全保障下将无人机从网内取出让选手调试，但是计时不能停止，包括调试时间与完成任务时间。</w:t>
      </w:r>
    </w:p>
    <w:p w:rsidR="008D5A7D" w:rsidRDefault="001C5955">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sz w:val="32"/>
          <w:szCs w:val="32"/>
        </w:rPr>
        <w:t>.</w:t>
      </w:r>
      <w:r>
        <w:rPr>
          <w:rFonts w:ascii="仿宋_GB2312" w:eastAsia="仿宋_GB2312" w:hint="eastAsia"/>
          <w:sz w:val="32"/>
          <w:szCs w:val="32"/>
        </w:rPr>
        <w:t>犯规和取消比赛资格</w:t>
      </w:r>
    </w:p>
    <w:p w:rsidR="008D5A7D" w:rsidRDefault="001C5955">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（1）当裁判宣布比赛时间到，选手应立即停止对小球的操作并飞往“公共停机区”降落。如果继续触碰小球，则取消比赛资格，总成绩记为0分。</w:t>
      </w:r>
    </w:p>
    <w:p w:rsidR="008D5A7D" w:rsidRDefault="001C5955">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（2）无人机起飞时，任何一方不得以不当手段阻碍对手无人机起飞或者故意在起飞时冲撞对手无人机造成对手无人机坠地或损坏，如出现此类情况，则违规方直接罚下，其</w:t>
      </w:r>
      <w:r>
        <w:rPr>
          <w:rFonts w:ascii="仿宋_GB2312" w:eastAsia="仿宋_GB2312" w:hint="eastAsia"/>
          <w:sz w:val="32"/>
          <w:szCs w:val="32"/>
        </w:rPr>
        <w:lastRenderedPageBreak/>
        <w:t>对手在本轮胜出。</w:t>
      </w:r>
    </w:p>
    <w:p w:rsidR="008D5A7D" w:rsidRDefault="001C5955">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（3）选手在自己任务区完成任务时，飞机始终不得越过场地中心线。如有越线行为，第一次须在5秒内返回自己任务场地，</w:t>
      </w:r>
      <w:proofErr w:type="gramStart"/>
      <w:r>
        <w:rPr>
          <w:rFonts w:ascii="仿宋_GB2312" w:eastAsia="仿宋_GB2312" w:hint="eastAsia"/>
          <w:sz w:val="32"/>
          <w:szCs w:val="32"/>
        </w:rPr>
        <w:t>超时未</w:t>
      </w:r>
      <w:proofErr w:type="gramEnd"/>
      <w:r>
        <w:rPr>
          <w:rFonts w:ascii="仿宋_GB2312" w:eastAsia="仿宋_GB2312" w:hint="eastAsia"/>
          <w:sz w:val="32"/>
          <w:szCs w:val="32"/>
        </w:rPr>
        <w:t>返回或第二次越线时，立即取消比赛资格。</w:t>
      </w:r>
    </w:p>
    <w:p w:rsidR="008D5A7D" w:rsidRDefault="001C5955">
      <w:pPr>
        <w:spacing w:line="560" w:lineRule="exact"/>
        <w:ind w:firstLineChars="200" w:firstLine="640"/>
        <w:rPr>
          <w:rFonts w:ascii="仿宋_GB2312" w:eastAsia="仿宋_GB2312"/>
          <w:sz w:val="32"/>
          <w:szCs w:val="32"/>
        </w:rPr>
      </w:pPr>
      <w:r>
        <w:rPr>
          <w:rFonts w:ascii="仿宋_GB2312" w:eastAsia="仿宋_GB2312" w:hint="eastAsia"/>
          <w:sz w:val="32"/>
          <w:szCs w:val="32"/>
        </w:rPr>
        <w:t>（4）不服从裁判员的指令将被取消比赛资格。</w:t>
      </w:r>
    </w:p>
    <w:p w:rsidR="008D5A7D" w:rsidRDefault="001C5955">
      <w:pPr>
        <w:spacing w:line="560" w:lineRule="exact"/>
        <w:ind w:firstLineChars="200" w:firstLine="640"/>
        <w:rPr>
          <w:rFonts w:ascii="黑体" w:eastAsia="黑体" w:hAnsi="黑体"/>
          <w:sz w:val="32"/>
          <w:szCs w:val="32"/>
        </w:rPr>
      </w:pPr>
      <w:r>
        <w:rPr>
          <w:rFonts w:ascii="黑体" w:eastAsia="黑体" w:hAnsi="黑体" w:hint="eastAsia"/>
          <w:sz w:val="32"/>
          <w:szCs w:val="32"/>
        </w:rPr>
        <w:t>六、竞赛注意事项</w:t>
      </w:r>
    </w:p>
    <w:p w:rsidR="008D5A7D" w:rsidRDefault="001C5955">
      <w:pPr>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安全要求</w:t>
      </w:r>
    </w:p>
    <w:p w:rsidR="008D5A7D" w:rsidRDefault="001C5955">
      <w:pPr>
        <w:spacing w:line="560" w:lineRule="exact"/>
        <w:ind w:firstLineChars="200" w:firstLine="640"/>
        <w:rPr>
          <w:rFonts w:ascii="仿宋_GB2312" w:eastAsia="仿宋_GB2312"/>
          <w:sz w:val="32"/>
          <w:szCs w:val="32"/>
        </w:rPr>
      </w:pPr>
      <w:r>
        <w:rPr>
          <w:rFonts w:ascii="仿宋_GB2312" w:eastAsia="仿宋_GB2312" w:hint="eastAsia"/>
          <w:sz w:val="32"/>
          <w:szCs w:val="32"/>
        </w:rPr>
        <w:t>（1）参赛器材上场前需要经过严格检查，不符合改装要求的部分现场裁判有权要求拆除，不听从裁判指令的，裁判有权宣布其终止该项比赛的权利。</w:t>
      </w:r>
    </w:p>
    <w:p w:rsidR="008D5A7D" w:rsidRDefault="001C5955">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（2）所有改装方式均应以安全操作为第一要务，装置必须为可拆卸装置，并配有保护盒。比赛结束</w:t>
      </w:r>
      <w:proofErr w:type="gramStart"/>
      <w:r>
        <w:rPr>
          <w:rFonts w:ascii="仿宋_GB2312" w:eastAsia="仿宋_GB2312" w:hint="eastAsia"/>
          <w:sz w:val="32"/>
          <w:szCs w:val="32"/>
        </w:rPr>
        <w:t>后选手</w:t>
      </w:r>
      <w:proofErr w:type="gramEnd"/>
      <w:r>
        <w:rPr>
          <w:rFonts w:ascii="仿宋_GB2312" w:eastAsia="仿宋_GB2312" w:hint="eastAsia"/>
          <w:sz w:val="32"/>
          <w:szCs w:val="32"/>
        </w:rPr>
        <w:t>应安全带好自己的无人机至指定区域自行拆除改装部分，并立即将装置放回保护盒内。</w:t>
      </w:r>
    </w:p>
    <w:p w:rsidR="008D5A7D" w:rsidRDefault="001C5955">
      <w:pPr>
        <w:spacing w:line="560" w:lineRule="exact"/>
        <w:ind w:firstLineChars="200" w:firstLine="640"/>
        <w:rPr>
          <w:rFonts w:ascii="仿宋_GB2312" w:eastAsia="仿宋_GB2312"/>
          <w:sz w:val="32"/>
          <w:szCs w:val="32"/>
        </w:rPr>
      </w:pPr>
      <w:r>
        <w:rPr>
          <w:rFonts w:ascii="仿宋_GB2312" w:eastAsia="仿宋_GB2312" w:hint="eastAsia"/>
          <w:sz w:val="32"/>
          <w:szCs w:val="32"/>
        </w:rPr>
        <w:t>（3）改装方式不可使用尖锐物体、明火、含腐蚀性的化学药剂、短路装置、弹射装置、刀片等含有不稳定危险因素的装置，不可破坏小球。</w:t>
      </w:r>
    </w:p>
    <w:p w:rsidR="008D5A7D" w:rsidRDefault="001C5955">
      <w:pPr>
        <w:spacing w:line="560" w:lineRule="exact"/>
        <w:ind w:firstLineChars="200" w:firstLine="640"/>
        <w:rPr>
          <w:rFonts w:ascii="仿宋_GB2312" w:eastAsia="仿宋_GB2312"/>
          <w:sz w:val="32"/>
          <w:szCs w:val="32"/>
        </w:rPr>
      </w:pPr>
      <w:r>
        <w:rPr>
          <w:rFonts w:ascii="仿宋_GB2312" w:eastAsia="仿宋_GB2312" w:hint="eastAsia"/>
          <w:sz w:val="32"/>
          <w:szCs w:val="32"/>
        </w:rPr>
        <w:t>2.选手态度</w:t>
      </w:r>
    </w:p>
    <w:p w:rsidR="008D5A7D" w:rsidRDefault="001C5955">
      <w:pPr>
        <w:spacing w:line="560" w:lineRule="exact"/>
        <w:ind w:firstLineChars="200" w:firstLine="640"/>
        <w:rPr>
          <w:rFonts w:ascii="仿宋_GB2312" w:eastAsia="仿宋_GB2312"/>
          <w:sz w:val="32"/>
          <w:szCs w:val="32"/>
        </w:rPr>
      </w:pPr>
      <w:r>
        <w:rPr>
          <w:rFonts w:ascii="仿宋_GB2312" w:eastAsia="仿宋_GB2312" w:hint="eastAsia"/>
          <w:sz w:val="32"/>
          <w:szCs w:val="32"/>
        </w:rPr>
        <w:t>（1）参赛队员应以积极的心态面对和自主地处理在比赛中遇到的所有问题，自尊、自重，友善地对待和尊重队友、对手、志愿者、裁判员和所有为比赛付出辛劳的人，努力把自己培养成为有健全人格和健康心理的人。</w:t>
      </w:r>
    </w:p>
    <w:p w:rsidR="008D5A7D" w:rsidRDefault="001C5955">
      <w:pPr>
        <w:spacing w:line="560" w:lineRule="exact"/>
        <w:ind w:firstLineChars="200" w:firstLine="640"/>
        <w:rPr>
          <w:rFonts w:ascii="仿宋_GB2312" w:eastAsia="仿宋_GB2312"/>
          <w:sz w:val="32"/>
          <w:szCs w:val="32"/>
        </w:rPr>
      </w:pPr>
      <w:r>
        <w:rPr>
          <w:rFonts w:ascii="仿宋_GB2312" w:eastAsia="仿宋_GB2312" w:hint="eastAsia"/>
          <w:sz w:val="32"/>
          <w:szCs w:val="32"/>
        </w:rPr>
        <w:t>（2）提前胜出一方，在操控区内不得以任何不文明行为或者语言对对手进行骚扰或者嘲笑，如现场裁判发现此类行</w:t>
      </w:r>
      <w:r>
        <w:rPr>
          <w:rFonts w:ascii="仿宋_GB2312" w:eastAsia="仿宋_GB2312" w:hint="eastAsia"/>
          <w:sz w:val="32"/>
          <w:szCs w:val="32"/>
        </w:rPr>
        <w:lastRenderedPageBreak/>
        <w:t xml:space="preserve">为，当及时制止并进行罚分或取消比赛资格。 </w:t>
      </w:r>
    </w:p>
    <w:p w:rsidR="008D5A7D" w:rsidRDefault="001C5955">
      <w:pPr>
        <w:spacing w:line="560" w:lineRule="exact"/>
        <w:ind w:firstLineChars="200" w:firstLine="640"/>
        <w:rPr>
          <w:rFonts w:ascii="黑体" w:eastAsia="黑体" w:hAnsi="黑体"/>
          <w:sz w:val="32"/>
          <w:szCs w:val="32"/>
        </w:rPr>
      </w:pPr>
      <w:r>
        <w:rPr>
          <w:rFonts w:ascii="黑体" w:eastAsia="黑体" w:hAnsi="黑体" w:hint="eastAsia"/>
          <w:sz w:val="32"/>
          <w:szCs w:val="32"/>
        </w:rPr>
        <w:t>七、规则最终解释权归竞赛组委会所有。</w:t>
      </w:r>
    </w:p>
    <w:sectPr w:rsidR="008D5A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VjMDcyMjc3OTdjZDA1YzliNTI0Y2IwNjllOTRiMjcifQ=="/>
  </w:docVars>
  <w:rsids>
    <w:rsidRoot w:val="00466C33"/>
    <w:rsid w:val="000018D8"/>
    <w:rsid w:val="000137EF"/>
    <w:rsid w:val="00034AE7"/>
    <w:rsid w:val="00042602"/>
    <w:rsid w:val="00052CA1"/>
    <w:rsid w:val="00054499"/>
    <w:rsid w:val="00071AFE"/>
    <w:rsid w:val="00075B57"/>
    <w:rsid w:val="000B0063"/>
    <w:rsid w:val="000C1AB0"/>
    <w:rsid w:val="000C5D20"/>
    <w:rsid w:val="000C71EE"/>
    <w:rsid w:val="000D113C"/>
    <w:rsid w:val="000D7175"/>
    <w:rsid w:val="00102A2C"/>
    <w:rsid w:val="001204F7"/>
    <w:rsid w:val="00137FF8"/>
    <w:rsid w:val="00173C89"/>
    <w:rsid w:val="00177CE6"/>
    <w:rsid w:val="00182B62"/>
    <w:rsid w:val="001C0AAC"/>
    <w:rsid w:val="001C550A"/>
    <w:rsid w:val="001C5955"/>
    <w:rsid w:val="001C6A85"/>
    <w:rsid w:val="001D414F"/>
    <w:rsid w:val="001E18DD"/>
    <w:rsid w:val="001E5A15"/>
    <w:rsid w:val="001F29F9"/>
    <w:rsid w:val="00204BAB"/>
    <w:rsid w:val="002140A8"/>
    <w:rsid w:val="0021591A"/>
    <w:rsid w:val="00216E99"/>
    <w:rsid w:val="0025249B"/>
    <w:rsid w:val="0027033F"/>
    <w:rsid w:val="002731E9"/>
    <w:rsid w:val="002766FC"/>
    <w:rsid w:val="0029659A"/>
    <w:rsid w:val="002970FF"/>
    <w:rsid w:val="002F760C"/>
    <w:rsid w:val="00310E1D"/>
    <w:rsid w:val="00326A51"/>
    <w:rsid w:val="00341A8F"/>
    <w:rsid w:val="0034438C"/>
    <w:rsid w:val="0036687B"/>
    <w:rsid w:val="003A2A68"/>
    <w:rsid w:val="003B5EBF"/>
    <w:rsid w:val="003C3F62"/>
    <w:rsid w:val="003D6944"/>
    <w:rsid w:val="004261DC"/>
    <w:rsid w:val="00443F3C"/>
    <w:rsid w:val="00456415"/>
    <w:rsid w:val="0046363E"/>
    <w:rsid w:val="00466C33"/>
    <w:rsid w:val="004672B9"/>
    <w:rsid w:val="00484CED"/>
    <w:rsid w:val="00493E18"/>
    <w:rsid w:val="004C7356"/>
    <w:rsid w:val="004D3D0C"/>
    <w:rsid w:val="004F7A50"/>
    <w:rsid w:val="00512F68"/>
    <w:rsid w:val="00520ADF"/>
    <w:rsid w:val="005225ED"/>
    <w:rsid w:val="005241C9"/>
    <w:rsid w:val="0055213F"/>
    <w:rsid w:val="00564EAF"/>
    <w:rsid w:val="0056598E"/>
    <w:rsid w:val="0057016F"/>
    <w:rsid w:val="00597A85"/>
    <w:rsid w:val="005A5870"/>
    <w:rsid w:val="005B75E5"/>
    <w:rsid w:val="00650B45"/>
    <w:rsid w:val="00671F91"/>
    <w:rsid w:val="006B1B13"/>
    <w:rsid w:val="006C3519"/>
    <w:rsid w:val="006C51BB"/>
    <w:rsid w:val="006D26FD"/>
    <w:rsid w:val="00714002"/>
    <w:rsid w:val="007226F8"/>
    <w:rsid w:val="007254F0"/>
    <w:rsid w:val="00726744"/>
    <w:rsid w:val="0073233A"/>
    <w:rsid w:val="00736D04"/>
    <w:rsid w:val="00740B4B"/>
    <w:rsid w:val="007534FE"/>
    <w:rsid w:val="007576EE"/>
    <w:rsid w:val="00782BC1"/>
    <w:rsid w:val="007A0A6B"/>
    <w:rsid w:val="007A0F4A"/>
    <w:rsid w:val="007A18E6"/>
    <w:rsid w:val="007B11D2"/>
    <w:rsid w:val="007B7489"/>
    <w:rsid w:val="007C28C9"/>
    <w:rsid w:val="007C6802"/>
    <w:rsid w:val="007E4575"/>
    <w:rsid w:val="008128B4"/>
    <w:rsid w:val="00815F36"/>
    <w:rsid w:val="00826E3F"/>
    <w:rsid w:val="00834B19"/>
    <w:rsid w:val="00875B77"/>
    <w:rsid w:val="00892300"/>
    <w:rsid w:val="008C008D"/>
    <w:rsid w:val="008C4A6C"/>
    <w:rsid w:val="008D5A7D"/>
    <w:rsid w:val="009003B0"/>
    <w:rsid w:val="009042F2"/>
    <w:rsid w:val="0092505A"/>
    <w:rsid w:val="009421D5"/>
    <w:rsid w:val="00947934"/>
    <w:rsid w:val="00997556"/>
    <w:rsid w:val="009A5852"/>
    <w:rsid w:val="009A5A97"/>
    <w:rsid w:val="009B5A3B"/>
    <w:rsid w:val="009D40E8"/>
    <w:rsid w:val="009D579F"/>
    <w:rsid w:val="009E08F7"/>
    <w:rsid w:val="009F6767"/>
    <w:rsid w:val="00A033DB"/>
    <w:rsid w:val="00A060FB"/>
    <w:rsid w:val="00A11E19"/>
    <w:rsid w:val="00A22562"/>
    <w:rsid w:val="00A3381E"/>
    <w:rsid w:val="00A4253D"/>
    <w:rsid w:val="00A430A3"/>
    <w:rsid w:val="00A648A8"/>
    <w:rsid w:val="00A96009"/>
    <w:rsid w:val="00A97A5E"/>
    <w:rsid w:val="00AC40BC"/>
    <w:rsid w:val="00AD03C4"/>
    <w:rsid w:val="00AD5150"/>
    <w:rsid w:val="00AF0E9D"/>
    <w:rsid w:val="00AF4660"/>
    <w:rsid w:val="00B20C55"/>
    <w:rsid w:val="00B35FFF"/>
    <w:rsid w:val="00B52843"/>
    <w:rsid w:val="00B77159"/>
    <w:rsid w:val="00BA356C"/>
    <w:rsid w:val="00BD6F0F"/>
    <w:rsid w:val="00C165C6"/>
    <w:rsid w:val="00C44481"/>
    <w:rsid w:val="00C45611"/>
    <w:rsid w:val="00C675B3"/>
    <w:rsid w:val="00C71A69"/>
    <w:rsid w:val="00C72F0D"/>
    <w:rsid w:val="00C7585D"/>
    <w:rsid w:val="00C85E5E"/>
    <w:rsid w:val="00CA143E"/>
    <w:rsid w:val="00CC622D"/>
    <w:rsid w:val="00CC7534"/>
    <w:rsid w:val="00CC7E57"/>
    <w:rsid w:val="00CD2B86"/>
    <w:rsid w:val="00CD461F"/>
    <w:rsid w:val="00CD5B1D"/>
    <w:rsid w:val="00CD5C69"/>
    <w:rsid w:val="00CF21E7"/>
    <w:rsid w:val="00D0396F"/>
    <w:rsid w:val="00D15CDF"/>
    <w:rsid w:val="00D21886"/>
    <w:rsid w:val="00D30141"/>
    <w:rsid w:val="00D32C97"/>
    <w:rsid w:val="00D46251"/>
    <w:rsid w:val="00D47C1C"/>
    <w:rsid w:val="00D9110E"/>
    <w:rsid w:val="00D91411"/>
    <w:rsid w:val="00DA0B2E"/>
    <w:rsid w:val="00DA73E3"/>
    <w:rsid w:val="00DB672C"/>
    <w:rsid w:val="00DD4D14"/>
    <w:rsid w:val="00DE3735"/>
    <w:rsid w:val="00E329F3"/>
    <w:rsid w:val="00E343D3"/>
    <w:rsid w:val="00E36B2C"/>
    <w:rsid w:val="00E76867"/>
    <w:rsid w:val="00EA7B00"/>
    <w:rsid w:val="00EB137E"/>
    <w:rsid w:val="00EB7AB8"/>
    <w:rsid w:val="00EE4822"/>
    <w:rsid w:val="00F14050"/>
    <w:rsid w:val="00F31777"/>
    <w:rsid w:val="00F34D4E"/>
    <w:rsid w:val="00F52645"/>
    <w:rsid w:val="00F72254"/>
    <w:rsid w:val="00F74B5C"/>
    <w:rsid w:val="00F84EC2"/>
    <w:rsid w:val="00F90713"/>
    <w:rsid w:val="00F96E8B"/>
    <w:rsid w:val="018C3D3E"/>
    <w:rsid w:val="01B710E5"/>
    <w:rsid w:val="01D408F4"/>
    <w:rsid w:val="02717B35"/>
    <w:rsid w:val="03245BEB"/>
    <w:rsid w:val="03372364"/>
    <w:rsid w:val="03391BB5"/>
    <w:rsid w:val="05570789"/>
    <w:rsid w:val="059A3C03"/>
    <w:rsid w:val="05EA532F"/>
    <w:rsid w:val="05EE5E95"/>
    <w:rsid w:val="06255BC2"/>
    <w:rsid w:val="068A61CE"/>
    <w:rsid w:val="070725F3"/>
    <w:rsid w:val="072F4F4B"/>
    <w:rsid w:val="07866B35"/>
    <w:rsid w:val="07E07FF3"/>
    <w:rsid w:val="07E13EC2"/>
    <w:rsid w:val="08601134"/>
    <w:rsid w:val="0876600C"/>
    <w:rsid w:val="08BB1B6E"/>
    <w:rsid w:val="08E045FD"/>
    <w:rsid w:val="09290881"/>
    <w:rsid w:val="09A672CB"/>
    <w:rsid w:val="09F00295"/>
    <w:rsid w:val="09F47317"/>
    <w:rsid w:val="0A726EFC"/>
    <w:rsid w:val="0A751C70"/>
    <w:rsid w:val="0BCA3494"/>
    <w:rsid w:val="0C122745"/>
    <w:rsid w:val="0DA51EF9"/>
    <w:rsid w:val="0E4D3F08"/>
    <w:rsid w:val="0F1D66E0"/>
    <w:rsid w:val="0F211F00"/>
    <w:rsid w:val="0FCC49B6"/>
    <w:rsid w:val="1111121D"/>
    <w:rsid w:val="1180086E"/>
    <w:rsid w:val="11E701D0"/>
    <w:rsid w:val="12151ECE"/>
    <w:rsid w:val="121F5BBC"/>
    <w:rsid w:val="12521E3F"/>
    <w:rsid w:val="128F377D"/>
    <w:rsid w:val="13BB434C"/>
    <w:rsid w:val="14697473"/>
    <w:rsid w:val="146C5E27"/>
    <w:rsid w:val="151A1002"/>
    <w:rsid w:val="15205ED3"/>
    <w:rsid w:val="152534E9"/>
    <w:rsid w:val="155C3CBE"/>
    <w:rsid w:val="17793FC0"/>
    <w:rsid w:val="17F866B4"/>
    <w:rsid w:val="181A1F4D"/>
    <w:rsid w:val="181E0269"/>
    <w:rsid w:val="18D21BDA"/>
    <w:rsid w:val="19045B0B"/>
    <w:rsid w:val="198507CD"/>
    <w:rsid w:val="19940C3D"/>
    <w:rsid w:val="19B84424"/>
    <w:rsid w:val="19E576EB"/>
    <w:rsid w:val="1A0E7F7B"/>
    <w:rsid w:val="1A2024D1"/>
    <w:rsid w:val="1A7016AA"/>
    <w:rsid w:val="1A781E1F"/>
    <w:rsid w:val="1A903AFB"/>
    <w:rsid w:val="1AF1104B"/>
    <w:rsid w:val="1B7038A8"/>
    <w:rsid w:val="1BB75D4F"/>
    <w:rsid w:val="1C1E0AB5"/>
    <w:rsid w:val="1C2A7637"/>
    <w:rsid w:val="1C2D02E4"/>
    <w:rsid w:val="1CD83537"/>
    <w:rsid w:val="1D6E0E7B"/>
    <w:rsid w:val="1DE54571"/>
    <w:rsid w:val="1E717D67"/>
    <w:rsid w:val="1F0423C1"/>
    <w:rsid w:val="1F4B01A3"/>
    <w:rsid w:val="1FCA1DF9"/>
    <w:rsid w:val="2023096B"/>
    <w:rsid w:val="20407582"/>
    <w:rsid w:val="20B53FCC"/>
    <w:rsid w:val="21023E81"/>
    <w:rsid w:val="21C35BB2"/>
    <w:rsid w:val="22F06E95"/>
    <w:rsid w:val="2330684B"/>
    <w:rsid w:val="24CE59CE"/>
    <w:rsid w:val="25662132"/>
    <w:rsid w:val="273F1FD9"/>
    <w:rsid w:val="27F82CDF"/>
    <w:rsid w:val="280C2946"/>
    <w:rsid w:val="29BF5862"/>
    <w:rsid w:val="2A8C0D0B"/>
    <w:rsid w:val="2A924D25"/>
    <w:rsid w:val="2AE22322"/>
    <w:rsid w:val="2AEA2BE4"/>
    <w:rsid w:val="2B14398C"/>
    <w:rsid w:val="2B3E4141"/>
    <w:rsid w:val="2B9243F6"/>
    <w:rsid w:val="2C424529"/>
    <w:rsid w:val="2C7768C8"/>
    <w:rsid w:val="2D2C7FD4"/>
    <w:rsid w:val="2D3D0866"/>
    <w:rsid w:val="2D616C08"/>
    <w:rsid w:val="2DC800E0"/>
    <w:rsid w:val="2DE756D8"/>
    <w:rsid w:val="2E382087"/>
    <w:rsid w:val="2E412B38"/>
    <w:rsid w:val="2EA27501"/>
    <w:rsid w:val="2F4370E7"/>
    <w:rsid w:val="2FB92D54"/>
    <w:rsid w:val="2FDB0B39"/>
    <w:rsid w:val="30D51486"/>
    <w:rsid w:val="31DB4B50"/>
    <w:rsid w:val="32327209"/>
    <w:rsid w:val="326D2DDA"/>
    <w:rsid w:val="327815AE"/>
    <w:rsid w:val="333169EE"/>
    <w:rsid w:val="341759E0"/>
    <w:rsid w:val="34681422"/>
    <w:rsid w:val="35160981"/>
    <w:rsid w:val="352568E0"/>
    <w:rsid w:val="354F32F4"/>
    <w:rsid w:val="35600E20"/>
    <w:rsid w:val="35690D78"/>
    <w:rsid w:val="360C62D3"/>
    <w:rsid w:val="369A294B"/>
    <w:rsid w:val="36B424C7"/>
    <w:rsid w:val="376756FF"/>
    <w:rsid w:val="38B46719"/>
    <w:rsid w:val="38EB06C6"/>
    <w:rsid w:val="3AA374AA"/>
    <w:rsid w:val="3B1E51EE"/>
    <w:rsid w:val="3B331C0C"/>
    <w:rsid w:val="3C7C5835"/>
    <w:rsid w:val="3C7E2BE9"/>
    <w:rsid w:val="3C9A4F61"/>
    <w:rsid w:val="3CE80028"/>
    <w:rsid w:val="3D296FF8"/>
    <w:rsid w:val="3E364ADD"/>
    <w:rsid w:val="3E5A677C"/>
    <w:rsid w:val="3E7201E0"/>
    <w:rsid w:val="408E08DA"/>
    <w:rsid w:val="41EA4045"/>
    <w:rsid w:val="426C3069"/>
    <w:rsid w:val="42B71375"/>
    <w:rsid w:val="42CB3FEA"/>
    <w:rsid w:val="43CE47D0"/>
    <w:rsid w:val="44C335AB"/>
    <w:rsid w:val="45097E82"/>
    <w:rsid w:val="46257E3F"/>
    <w:rsid w:val="4646138E"/>
    <w:rsid w:val="47473BF4"/>
    <w:rsid w:val="47B9793D"/>
    <w:rsid w:val="48024810"/>
    <w:rsid w:val="480C76AC"/>
    <w:rsid w:val="4A5D20BF"/>
    <w:rsid w:val="4A9A1CA8"/>
    <w:rsid w:val="4B7E13FD"/>
    <w:rsid w:val="4CEE4A63"/>
    <w:rsid w:val="4D043409"/>
    <w:rsid w:val="4D0E0247"/>
    <w:rsid w:val="4D6C0FAE"/>
    <w:rsid w:val="4D754306"/>
    <w:rsid w:val="4D91401B"/>
    <w:rsid w:val="4DD252B5"/>
    <w:rsid w:val="4E3B2A3C"/>
    <w:rsid w:val="502E69EF"/>
    <w:rsid w:val="509A6186"/>
    <w:rsid w:val="50E6506C"/>
    <w:rsid w:val="5117392E"/>
    <w:rsid w:val="51445B74"/>
    <w:rsid w:val="51B80C66"/>
    <w:rsid w:val="51E41A5B"/>
    <w:rsid w:val="51F15F26"/>
    <w:rsid w:val="53525315"/>
    <w:rsid w:val="53636264"/>
    <w:rsid w:val="536D39B3"/>
    <w:rsid w:val="53A6772E"/>
    <w:rsid w:val="54015FBB"/>
    <w:rsid w:val="543F185E"/>
    <w:rsid w:val="549C6723"/>
    <w:rsid w:val="57017014"/>
    <w:rsid w:val="57122BC6"/>
    <w:rsid w:val="58507047"/>
    <w:rsid w:val="5852632E"/>
    <w:rsid w:val="585B234B"/>
    <w:rsid w:val="58965F8A"/>
    <w:rsid w:val="58A66B97"/>
    <w:rsid w:val="58EF14D0"/>
    <w:rsid w:val="598636F9"/>
    <w:rsid w:val="599B2542"/>
    <w:rsid w:val="59B271D2"/>
    <w:rsid w:val="5A776F1B"/>
    <w:rsid w:val="5B4B4D0D"/>
    <w:rsid w:val="5B977B3E"/>
    <w:rsid w:val="5BE54D4D"/>
    <w:rsid w:val="5CB16CA0"/>
    <w:rsid w:val="5CD01C11"/>
    <w:rsid w:val="5D0A586F"/>
    <w:rsid w:val="5D6E6344"/>
    <w:rsid w:val="5D8520D5"/>
    <w:rsid w:val="5DA16892"/>
    <w:rsid w:val="5E5835B4"/>
    <w:rsid w:val="5E655CD1"/>
    <w:rsid w:val="5FDE04AB"/>
    <w:rsid w:val="60675D31"/>
    <w:rsid w:val="60D15E1A"/>
    <w:rsid w:val="60F71EB1"/>
    <w:rsid w:val="61964C8E"/>
    <w:rsid w:val="63493E13"/>
    <w:rsid w:val="634F58E4"/>
    <w:rsid w:val="63733782"/>
    <w:rsid w:val="644B5969"/>
    <w:rsid w:val="64942E6C"/>
    <w:rsid w:val="64985F93"/>
    <w:rsid w:val="64A70DF2"/>
    <w:rsid w:val="64E8140A"/>
    <w:rsid w:val="650034A0"/>
    <w:rsid w:val="65AE7F5E"/>
    <w:rsid w:val="65E24B1F"/>
    <w:rsid w:val="665D336F"/>
    <w:rsid w:val="66A72CB4"/>
    <w:rsid w:val="67194D2C"/>
    <w:rsid w:val="672508A7"/>
    <w:rsid w:val="67561739"/>
    <w:rsid w:val="67DC14DA"/>
    <w:rsid w:val="681749C9"/>
    <w:rsid w:val="685C6397"/>
    <w:rsid w:val="68EE0A4A"/>
    <w:rsid w:val="6A24611A"/>
    <w:rsid w:val="6A770A27"/>
    <w:rsid w:val="6B6E4ACB"/>
    <w:rsid w:val="6C016080"/>
    <w:rsid w:val="6CFE17CB"/>
    <w:rsid w:val="6E283529"/>
    <w:rsid w:val="6E34121C"/>
    <w:rsid w:val="6E3A143C"/>
    <w:rsid w:val="6E45754C"/>
    <w:rsid w:val="6EC24A7A"/>
    <w:rsid w:val="6F7F7EAD"/>
    <w:rsid w:val="70327525"/>
    <w:rsid w:val="70634B02"/>
    <w:rsid w:val="70CC398E"/>
    <w:rsid w:val="71995F66"/>
    <w:rsid w:val="722B1C06"/>
    <w:rsid w:val="73467A28"/>
    <w:rsid w:val="74A25132"/>
    <w:rsid w:val="74A72748"/>
    <w:rsid w:val="74C27582"/>
    <w:rsid w:val="750B5C92"/>
    <w:rsid w:val="770519A8"/>
    <w:rsid w:val="770D406F"/>
    <w:rsid w:val="7771703D"/>
    <w:rsid w:val="77BF3D0E"/>
    <w:rsid w:val="795D5ACB"/>
    <w:rsid w:val="799040F2"/>
    <w:rsid w:val="79BD656A"/>
    <w:rsid w:val="7A0A438D"/>
    <w:rsid w:val="7A291E51"/>
    <w:rsid w:val="7AB45BBF"/>
    <w:rsid w:val="7AE1648A"/>
    <w:rsid w:val="7B0C35A6"/>
    <w:rsid w:val="7B0F188E"/>
    <w:rsid w:val="7C6543A4"/>
    <w:rsid w:val="7CFB1883"/>
    <w:rsid w:val="7D854B39"/>
    <w:rsid w:val="7E0B3D48"/>
    <w:rsid w:val="7E9517C9"/>
    <w:rsid w:val="7EA1645A"/>
    <w:rsid w:val="7F363046"/>
    <w:rsid w:val="7FD27E44"/>
    <w:rsid w:val="7FD90539"/>
    <w:rsid w:val="7FDC10FD"/>
    <w:rsid w:val="7FE21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0CE7BFEF-377B-4917-8257-4C4EC4BEA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autoRedefine/>
    <w:uiPriority w:val="99"/>
    <w:semiHidden/>
    <w:unhideWhenUsed/>
    <w:qFormat/>
    <w:rPr>
      <w:sz w:val="18"/>
      <w:szCs w:val="18"/>
    </w:rPr>
  </w:style>
  <w:style w:type="paragraph" w:styleId="a5">
    <w:name w:val="footer"/>
    <w:basedOn w:val="a"/>
    <w:link w:val="a6"/>
    <w:autoRedefine/>
    <w:uiPriority w:val="99"/>
    <w:unhideWhenUsed/>
    <w:qFormat/>
    <w:pPr>
      <w:tabs>
        <w:tab w:val="center" w:pos="4153"/>
        <w:tab w:val="right" w:pos="8306"/>
      </w:tabs>
      <w:snapToGrid w:val="0"/>
      <w:jc w:val="left"/>
    </w:pPr>
    <w:rPr>
      <w:sz w:val="18"/>
      <w:szCs w:val="18"/>
    </w:rPr>
  </w:style>
  <w:style w:type="paragraph" w:styleId="a7">
    <w:name w:val="header"/>
    <w:basedOn w:val="a"/>
    <w:link w:val="a8"/>
    <w:autoRedefine/>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autoRedefine/>
    <w:uiPriority w:val="99"/>
    <w:qFormat/>
    <w:rPr>
      <w:sz w:val="18"/>
      <w:szCs w:val="18"/>
    </w:rPr>
  </w:style>
  <w:style w:type="character" w:customStyle="1" w:styleId="a6">
    <w:name w:val="页脚 字符"/>
    <w:basedOn w:val="a0"/>
    <w:link w:val="a5"/>
    <w:autoRedefine/>
    <w:uiPriority w:val="99"/>
    <w:qFormat/>
    <w:rPr>
      <w:sz w:val="18"/>
      <w:szCs w:val="18"/>
    </w:rPr>
  </w:style>
  <w:style w:type="paragraph" w:customStyle="1" w:styleId="TableParagraph">
    <w:name w:val="Table Paragraph"/>
    <w:basedOn w:val="a"/>
    <w:autoRedefine/>
    <w:qFormat/>
    <w:pPr>
      <w:autoSpaceDE w:val="0"/>
      <w:autoSpaceDN w:val="0"/>
      <w:jc w:val="left"/>
    </w:pPr>
    <w:rPr>
      <w:rFonts w:ascii="宋体" w:eastAsia="宋体" w:hAnsi="宋体" w:cs="宋体"/>
      <w:kern w:val="0"/>
      <w:sz w:val="22"/>
    </w:rPr>
  </w:style>
  <w:style w:type="table" w:customStyle="1" w:styleId="TableNormal">
    <w:name w:val="Table Normal"/>
    <w:basedOn w:val="a1"/>
    <w:autoRedefine/>
    <w:qFormat/>
    <w:pPr>
      <w:widowControl w:val="0"/>
      <w:autoSpaceDE w:val="0"/>
      <w:autoSpaceDN w:val="0"/>
    </w:pPr>
    <w:rPr>
      <w:rFonts w:eastAsia="Times New Roman"/>
      <w:sz w:val="22"/>
      <w:lang w:eastAsia="en-US"/>
    </w:rPr>
    <w:tblPr>
      <w:tblCellMar>
        <w:left w:w="0" w:type="dxa"/>
        <w:right w:w="0" w:type="dxa"/>
      </w:tblCellMar>
    </w:tblPr>
  </w:style>
  <w:style w:type="paragraph" w:customStyle="1" w:styleId="1">
    <w:name w:val="正文1"/>
    <w:autoRedefine/>
    <w:qFormat/>
    <w:pPr>
      <w:jc w:val="both"/>
    </w:pPr>
    <w:rPr>
      <w:rFonts w:ascii="等线" w:hAnsi="等线" w:cs="宋体"/>
      <w:kern w:val="2"/>
      <w:sz w:val="21"/>
      <w:szCs w:val="21"/>
    </w:rPr>
  </w:style>
  <w:style w:type="character" w:customStyle="1" w:styleId="a4">
    <w:name w:val="批注框文本 字符"/>
    <w:basedOn w:val="a0"/>
    <w:link w:val="a3"/>
    <w:autoRedefine/>
    <w:uiPriority w:val="99"/>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385</Words>
  <Characters>2200</Characters>
  <Application>Microsoft Office Word</Application>
  <DocSecurity>0</DocSecurity>
  <Lines>18</Lines>
  <Paragraphs>5</Paragraphs>
  <ScaleCrop>false</ScaleCrop>
  <Company>微软中国</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刘鹏</dc:creator>
  <cp:lastModifiedBy>刘鹏</cp:lastModifiedBy>
  <cp:revision>7</cp:revision>
  <dcterms:created xsi:type="dcterms:W3CDTF">2024-02-28T01:24:00Z</dcterms:created>
  <dcterms:modified xsi:type="dcterms:W3CDTF">2024-02-29T01:31:00Z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BF124F8B6C5D4A6F96E53E025276B625_13</vt:lpwstr>
  </property>
</Properties>
</file>